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6B_763/2011 vom 22. März 2012</w:t>
      </w:r>
    </w:p>
    <w:p>
      <w:r>
        <w:t>Bundesgericht, 2012-03-22, FR</w:t>
      </w:r>
    </w:p>
    <w:p>
      <w:r>
        <w:rPr>
          <w:b/>
        </w:rPr>
        <w:t xml:space="preserve">Quelle: </w:t>
      </w:r>
      <w:r>
        <w:t>https://mcp.opencaselaw.ch/entscheid/bger_6B_763_2011</w:t>
      </w:r>
    </w:p>
    <w:p>
      <w:r>
        <w:t>FR: TF 6B_763/2011 du 22 mars 2012</w:t>
      </w:r>
    </w:p>
    <w:p>
      <w:r>
        <w:t>IT: TF 6B_763/2011 del 22 marzo 2012</w:t>
      </w:r>
    </w:p>
    <w:p>
      <w:pPr>
        <w:pStyle w:val="Heading2"/>
      </w:pPr>
      <w:r>
        <w:t>Erwägungen</w:t>
      </w:r>
    </w:p>
    <w:p>
      <w:r>
        <w:rPr>
          <w:b/>
        </w:rPr>
        <w:t>E. 1.1</w:t>
      </w:r>
    </w:p>
    <w:p>
      <w:r>
        <w:t>Le recourant discute uniquement la valeur probante de la mesure de sa vitesse dont il allègue qu'elle a été établie arbitrairement et en violation du principe de la présomption d'innocence. Il fait valoir que le chiffre 20 des Instructions techniques concernant les contrôles de vitesse dans la circulation routière édictées par le Département fédéral de l'Environnement, des transports, de l'énergie et de la communication n'a pas été été respecté. Partant de la vitesse de 200 km/h affichée au compteur du véhicule de police qui le suivait, il reproche à la Chambre pénale de ne pas avoir soustrait, en sus de la déduction de 15%, une marge supplémentaire de 10%, en application du chiffre 20 des directives précitées. La vitesse à retenir ne saurait ainsi être supérieure à 153 km/h, de sorte qu'il ne peut s'agir d'un cas objectivement grave. Il n'allègue en revanche pas que la violation des règles de la circulation routière qui lui est reprochée ne serait pas grave au sens de l' art. 90 ch. 2 LCR d'un point de vue subjectif.</w:t>
      </w:r>
    </w:p>
    <w:p>
      <w:r>
        <w:rPr>
          <w:b/>
        </w:rPr>
        <w:t>E. 1.2</w:t>
      </w:r>
    </w:p>
    <w:p>
      <w:r>
        <w:t>Dans la mesure où l'appréciation des preuves est critiquée en référence au principe «in dubio pro reo», celui-ci n'a pas de portée plus large que l'interdiction de l'arbitraire ( ATF 127 I 38 consid. 2a p. 41). On peut renvoyer, sur cette notion, aux principes maintes fois exposés par le Tribunal fédéral (cf. ATF 137 I 1 consid. 2.4 p. 5, 136 III 552 consid. 4.2 p. 560). Le Tribunal fédéral ne connaît de la violation des droits fondamentaux que si un tel moyen est invoqué et motivé par le recourant ( art. 106 al. 2 LTF ; ATF 137 IV 1 consid. 4.2.3, 136 I 65 consid. 1.3.1). Le recourant qui se plaint d'arbitraire doit démontrer, par une argumentation claire et détaillée, que cette décision se fonde sur une constatation des faits ou une appréciation des preuves insoutenable ( ATF 133 II 396 consid. 3.2 p. 400). Les critiques de nature appellatoire sont irrecevables ( ATF 137 II 353 c. 5.1 p. 365 et réf. citées).</w:t>
      </w:r>
    </w:p>
    <w:p>
      <w:r>
        <w:rPr>
          <w:b/>
        </w:rPr>
        <w:t>E. 1.3</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 art. 9 al. 2 OCCR ,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le 22 mai 2008, une Ordonnance (OOCCR-OFROU; RS 741.013.1; RO 2008 2447), ainsi que, en accord avec l'Office fédéral de métrologie (METAS), des Instructions concernant les contrôles de vitesse par la police et la surveillance de la circulation aux feux rouges.</w:t>
      </w:r>
    </w:p>
    <w:p>
      <w:r>
        <w:t>Les art. 6 à 9 OOCCR-OFROU précisent notamment les types de mesures (art. 6 et 7), les marges de sécurité (art. 8) ainsi que les exigences relatives à la documentation des vitesses mesurées (art. 9). L' art. 8 al. 1 let . g ch. 2 OOCCR-OFROU dispose plus particulièrement qu'en cas de contrôle par un véhicule suiveur sans système calibré, la marge de déduction doit être de 15% pour une valeur mesurée à partir de 101 km/h. Le chiffre 20 des instructions relatif aux mesures au moyen d'un tel véhicule, à propos de la détermination exacte du compteur de vitesse du véhicule, prévoit que la différence entre la vitesse effective et la vitesse affichée au compteur, déterminée au moyen d'une mesure radar/laser, d'un récepteur GPS de la police ou sur un banc d'essai à rouleaux du service des automobiles ou d'une personne habilitée par l'autorité d'immatriculation, doit être soustraite du dépassement de vitesse constaté, après quoi il convient de déduire encore la marge de sécurité selon l' art. 8 al. 1 let . g OOCCR-OFROU.</w:t>
      </w:r>
    </w:p>
    <w:p>
      <w:r>
        <w:rPr>
          <w:b/>
        </w:rPr>
        <w:t>E. 1.4</w:t>
      </w:r>
    </w:p>
    <w:p>
      <w:r>
        <w:t>Selon la jurisprudence, les Instructions techniques, comme celles concernant les contrôles de vitesse émises le 22 mai 2008 par l'Office fédéral des routes, constituent de simples recommandations qui n'ont pas force de loi et ne lient pas le juge ( ATF 123 II 106 consid. 2e p. 113; 121 IV 64 consid. 3 p. 66).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6B_863/2010 17 janvier 2011 consid. 2.2 in SJ 2011 I 265; 1C_345/2007 du 24 janvier 2008 consid. 4.1, in JdT 2008 I 449). Les Instructions techniques réservent du reste la libre appréciation des preuves par les tribunaux (cf. ch. 13 in fine; cf. également le ch. 21).</w:t>
      </w:r>
    </w:p>
    <w:p>
      <w:r>
        <w:t>Selon une jurisprudence constante, le seuil de gravité en matière d'infraction à la circulation routière ( art. 90 ch. 2 LCR ) est considéré comme atteint en cas de dépassement de la vitesse égal ou supérieur à 35 km/h quand la vitesse est limitée à 120 km/h sur les autoroutes ( ATF 132 II 234 consid. 3.2 p. 238; 124 II 259 consid. 2b p. 261 ss; 123 II 106 consid. 2c p. 113).</w:t>
      </w:r>
    </w:p>
    <w:p>
      <w:r>
        <w:rPr>
          <w:b/>
        </w:rPr>
        <w:t>E. 1.5</w:t>
      </w:r>
    </w:p>
    <w:p>
      <w:r>
        <w:t>La Chambre pénale d'appel et de révision de la Cour de justice a procédé à la déduction de 15% conformément à l'art. l' art. 8 al. 1 let . g OOCCR-OFROU pour estimer que la vitesse du véhicule en cause s'élevait à tout le moins à 170 km/h. Il est constant que le véhicule de la police n'a pas été étalonné conformément à l'art. 20 des instructions techniques en sorte qu'une éventuelle différence entre la vitesse affichée au compteur du véhicule de la police et sa vitesse effective n'a pas été déduite. Cela ne signifie pas pour autant que le résultat auquel est parvenue l'autorité cantonale est insoutenable. D'une part, il ressort des faits résultant du jugement cantonal qui lient la cour de céans ( art. 105 al. 1 LTF ), faute pour le recourant d'invoquer et de démontrer l'arbitraire dans leurs constatations, que lorsqu'il a été entendu sur place par les gendarmes, le recourant a admis une vitesse de 180 km/h, ce qui a été confirmé par l'agent lors de son audition devant le Tribunal de police (arrêt querellé ad B let. c p. 2). D'autre part, en réduisant de 15% la vitesse de 200 km/h relevée par la police, le raisonnement cantonal laisse encore une large place à une marge de déduction supplémentaire de 15 km/h pour tenir compte d'éventuelles imprécisions du compteur de vitesse. Quand le recourant soutient qu'il est incontesté que la marge d'erreur du compteur de vitesse du véhicule des gendarmes serait de 10%, il n'expose pas, conformément aux exigences accrues de motivation ( art. 106 al. 2 LTF ), en quoi l'arrêt cantonal qui ne contient aucune constatation de cette nature aurait arbitrairement omis un tel élément. En conséquence, les éléments avancés par le recourant ne suffisent pas à remettre en cause les constatations qui fondent sa condamnation pour violation grave des règles de la circulation routière.</w:t>
      </w:r>
    </w:p>
    <w:p>
      <w:r>
        <w:rPr>
          <w:b/>
        </w:rPr>
        <w:t>E. 2</w:t>
      </w:r>
    </w:p>
    <w:p>
      <w:r>
        <w:t>Le recourant succombe. Il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