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6B_762/2020 vom 17. März 2021</w:t>
      </w:r>
    </w:p>
    <w:p>
      <w:r>
        <w:t>Bundesgericht, 2021-03-17, FR</w:t>
      </w:r>
    </w:p>
    <w:p>
      <w:r>
        <w:rPr>
          <w:b/>
        </w:rPr>
        <w:t xml:space="preserve">Quelle: </w:t>
      </w:r>
      <w:r>
        <w:t>https://mcp.opencaselaw.ch/entscheid/bger_6B_762_2020</w:t>
      </w:r>
    </w:p>
    <w:p>
      <w:r>
        <w:t>FR: TF 6B_762/2020 du 17 mars 2021</w:t>
      </w:r>
    </w:p>
    <w:p>
      <w:r>
        <w:t>IT: TF 6B_762/2020 del 17 marzo 2021</w:t>
      </w:r>
    </w:p>
    <w:p>
      <w:pPr>
        <w:pStyle w:val="Heading2"/>
      </w:pPr>
      <w:r>
        <w:t>Erwägungen</w:t>
      </w:r>
    </w:p>
    <w:p>
      <w:r>
        <w:rPr>
          <w:b/>
        </w:rPr>
        <w:t>E. 1</w:t>
      </w:r>
    </w:p>
    <w:p>
      <w:r>
        <w:t>Tout en se référant aux faits établis dans l'arrêt cantonal qu'il dit renoncer à contester devant la cour de céans, le recourant invoque une violation de son droit d'être entendu et fait également grief à la cour cantonale d'avoir violé les art. 426 al. 2 CPP , 429 al. 1 let. a CPP et 430 al. 1 let. a CPP.</w:t>
      </w:r>
    </w:p>
    <w:p>
      <w:r>
        <w:rPr>
          <w:b/>
        </w:rPr>
        <w:t>E. 2</w:t>
      </w:r>
    </w:p>
    <w:p>
      <w:r>
        <w:t>Le grief de violation du droit d'être entendu soulevé par le recourant étant de nature formelle, il convient de l'examiner en premier lieu.</w:t>
      </w:r>
    </w:p>
    <w:p>
      <w:r>
        <w:rPr>
          <w:b/>
        </w:rPr>
        <w:t>E. 2.1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2.2</w:t>
      </w:r>
    </w:p>
    <w:p>
      <w:r>
        <w:t>En l'espèce, le recourant concède que la cour cantonale a bien traité les griefs qu'il a soulevé devant elle en rapport avec les art. 426 al. 2 CPP et 430 al. 1 let. a CPP. Il soutient toutefois qu'il a également fait valoir, en appel, à titre subsidiaire, que la mise à la charge des frais de procédure et le refus de lui allouer une indemnité à forme de l' art. 429 CPP était contraire à l' art. 426 al. 3 let. a CPP , aux termes duquel le prévenu ne supporte pas les frais que la Confédération ou le canton ont occasionnés par des actes de procédure inutiles ou erronés.</w:t>
      </w:r>
    </w:p>
    <w:p>
      <w:r>
        <w:t>Le jugement attaqué est certes muet sur ce point. Il n'en demeure pas moins patent que la motivation cantonale concernant l'application des art. 426 al. 2 CPP et 430 al. 1 let. a CPP, telle qu'elle sera reprise plus loin, impliquait nécessairement le rejet des griefs soulevés par le recourant sous l'angle de l' art. 426 al. 3 let. a CPP . On comprend en effet aisément que, dans la présente cause, la mise des frais à la charge du recourant en application de l' art. 426 al. 2 CPP excluait de considérer des actes de procédures inutiles ou erronés au sens de l' art. 426 al. 3 let. a CPP .</w:t>
      </w:r>
    </w:p>
    <w:p>
      <w:r>
        <w:t>Il s'ensuit que le grief de violation du droit d'être entendu s'avère mal fondé et qu'il doit être rejeté.</w:t>
      </w:r>
    </w:p>
    <w:p>
      <w:r>
        <w:rPr>
          <w:b/>
        </w:rPr>
        <w:t>E. 3</w:t>
      </w:r>
    </w:p>
    <w:p>
      <w:r>
        <w:t>A l'appui de son grief portant sur la violation alléguée des art. 426 al. 2 CPP , 429 al. 1 let. a CPP et 430 al. 1 let. a CPP, le recourant soutient qu'on ne saurait lui imputer un comportement illicite et fautif qui aurait justifié la procédure pénale menée à son encontre.</w:t>
      </w:r>
    </w:p>
    <w:p>
      <w:r>
        <w:rPr>
          <w:b/>
        </w:rPr>
        <w:t>E. 3.1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Le juge ne peut fonder sa décision que sur des faits incontestés ou déjà clairement établis ( ATF 112 Ia 371 consid. 2a; arrêts 6B_1462/2020 du 4 février 2021 consid. 2; 6B_660/2020 du 9 septembre 2020 consid. 1.3; 6B_1094/2019 du 25 juin 2020 consid. 2.2).</w:t>
      </w:r>
    </w:p>
    <w:p>
      <w:r>
        <w:t>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6B_1462/2020 précité consid. 2; 6B_565/2019 du 12 juin 2019 consid. 5.1; 6B_373/2019 du 4 juin 2019 consid. 1.2).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t>Selon la jurisprudence, la violation des devoirs du mandataire envers le mandant peut justifier que les frais soient mis à la charge du premier à l'issue d'une procédure pénale ouverte contre lui (arrêts 6B_650/2019 du 20 août 2019 consid. 3.4; 6B_795/2017 du 30 mai 2018 consid. 1.2; 6B_556/2017 du 15 mars 2018 consid. 2.1). Il en va de même, mutatis mutandis, dans le cadre d'un contrat d'entreprise au sens des art. 363 ss CO . Ainsi, au même titre que le mandataire est, aux termes de l' art. 398 al. 2 CO , responsable envers le mandant de la bonne et fidèle exécution du mandat, l'entrepreneur est, en vertu de l' art. 364 al. 1 CO , soumis aux mêmes règles que le travailleur dans les rapports de travail, ce qui implique qu'il doit exécuter avec soin l'ouvrage qui lui est confié et sauvegarder fidèlement les intérêts légitimes du maître (voir art. 321a al. 1 CO ; arrêt 6B_795/2017 précité consid. 1.2).</w:t>
      </w:r>
    </w:p>
    <w:p>
      <w:r>
        <w:rPr>
          <w:b/>
        </w:rPr>
        <w:t>E. 3.2</w:t>
      </w:r>
    </w:p>
    <w:p>
      <w:r>
        <w:t>En l'espèce, il est constant que le recourant et C.________ ont été lié par un contrat d'entreprise, dans le contexte d'une intervention destinée à déboucher la canalisation d'un lavabo. Le recourant évoque lui-même cette qualification. Il ressort en outre du jugement attaqué ( art. 105 al. 1 LTF ) que le recourant a fait signer à la prénommée une reconnaissance de dette pour un prix prohibitif, sans aucun rapport avec la valeur de la prestation fournie. Il est établi qu'il existait une disproportion évidente entre les prestations, sachant de surcroît que l'intervention du recourant s'était inscrite dans un contexte d'urgence, auprès d'une personne âgée de 87 ans vivant seule et ne s'occupant plus que d'une partie de ses affaires administratives. Sur cette base et se référant à l' art. 21 CO , la cour cantonale a considéré qu'en faisant immédiatement signer à l'intéressée, lors de son intervention destinée à déboucher la canalisation d'un lavabo, une quittance d'un montant de 1'446 fr. 20, pour des prestations qui ne valaient qu'un tiers du prix, le recourant avait provoqué l'ouverture de l'enquête par un comportement illicite. Ce comportement apparaissait en outre comme fautif, dès lors que le recourant ne pouvait ignorer le grand âge de sa cliente, étant de surcroît relevé qu'il avait par la suite, après l'ouverture de l'instruction pénale à son encontre, réduit drastiquement le montant de sa facture.</w:t>
      </w:r>
    </w:p>
    <w:p>
      <w:r>
        <w:t>Quoi qu'en dise le recourant, on ne saurait considérer que le raisonnement de la cour cantonale serait insoutenable sous l'angle de la présomption d'innocence. La cour cantonale a en effet distingué sans ambiguïté l'acquittement dont il a bénéficié sur le plan pénal - en aucun cas remis en question par le jugement attaqué - de la problématique spécifique de la mise des frais à sa charge sous l'angle de l' art. 426 al. 2 CPP . C'est en vain, de surcroît, que le recourant s'en prend à la motivation cantonale, en tant qu'il y est fait référence à l' art. 21 CO . En effet, il découle de la jurisprudence susmentionnée (arrêt 6B_795/2017 précité consid. 1.2; cf. supra consid. 3.1 i. f.) que la violation des obligations de l'entrepreneur à l'égard du maître peut, tout comme la violation des obligations du mandataire à l'égard du mandant, justifier que les frais soient mis à la charge du premier à l'issue d'une procédure pénale ouverte contre lui. Or, les faits retenus par la cour cantonale, que le recourant a expressément précisé ne pas contester, permettent de retenir, compte tenu de la disproportion évidente des prestations et des circonstances dans lesquelles le recourant a fait signer la quittance litigieuse, une violation tout aussi évidente et fautive des obligations contractuelles du recourant à l'égard de C.________. Dans cette mesure, il est manifeste que le comportement du recourant était de nature à provoquer le dépôt d'une plainte pénale et à justifier l'ouverture d'une instruction destinée à déterminer si un tel comportement, adopté au détriment d'une personne âgée de 87 ans, était constitutif d'une infraction pénale. Au demeurant, c'est bien la disproportion constatée, et non un simple tarif supérieur au tarif usuel dont le recourant semble se prévaloir, qui est à l'origine de la présente procédure pénale. Les dénégations du recourant quant à l'existence d'un lien de causalité entre son comportement et l'ouverture de la procédure pénale diligentée à son encontre sont ainsi dénuées de consistance.</w:t>
      </w:r>
    </w:p>
    <w:p>
      <w:r>
        <w:t>Il s'ensuit que les griefs du recourant s'avèrent mal fondés. La cour cantonale n'a donc pas violé le droit fédéral en confirmant la mise à sa charge des frais de la cause en application de l' art. 426 al. 2 CPP et le refus de lui allouer une indemnité à forme de l' art. 429 CPP .</w:t>
      </w:r>
    </w:p>
    <w:p>
      <w:r>
        <w:rPr>
          <w:b/>
        </w:rPr>
        <w:t>E. 4</w:t>
      </w:r>
    </w:p>
    <w:p>
      <w:r>
        <w:t>Au vu de ce qui précède,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