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762/2015 vom 27. November 2015</w:t>
      </w:r>
    </w:p>
    <w:p>
      <w:r>
        <w:t>Bundesgericht, 2015-11-27, DE</w:t>
      </w:r>
    </w:p>
    <w:p>
      <w:r>
        <w:rPr>
          <w:b/>
        </w:rPr>
        <w:t xml:space="preserve">Quelle: </w:t>
      </w:r>
      <w:r>
        <w:t>https://mcp.opencaselaw.ch/entscheid/bger_6B_762_2015</w:t>
      </w:r>
    </w:p>
    <w:p>
      <w:r>
        <w:t>FR: TF 6B 762/2015 du 27 novembre 2015</w:t>
      </w:r>
    </w:p>
    <w:p>
      <w:r>
        <w:t>IT: TF 6B 762/2015 del 27 novembre 2015</w:t>
      </w:r>
    </w:p>
    <w:p>
      <w:pPr>
        <w:pStyle w:val="Heading2"/>
      </w:pPr>
      <w:r>
        <w:t>Regeste</w:t>
      </w:r>
    </w:p>
    <w:p>
      <w:r>
        <w:t>Versuchte schwere Körperverletzung, Willkür | Straftaten</w:t>
      </w:r>
    </w:p>
    <w:p>
      <w:pPr>
        <w:pStyle w:val="Heading2"/>
      </w:pPr>
      <w:r>
        <w:t>Erwägungen</w:t>
      </w:r>
    </w:p>
    <w:p>
      <w:r>
        <w:rPr>
          <w:b/>
        </w:rPr>
        <w:t>E. 1</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Dem Grundsatz in dubio pro reo als Beweiswürdigungsmaxime kommt keine über das Willkürverbot hinausgehende Bedeutung zu ( BGE 138 V 74 E. 7 ; 127 I 38 E. 2a; 120 Ia 31 E. 2d S. 38).</w:t>
      </w:r>
    </w:p>
    <w:p>
      <w:r>
        <w:rPr>
          <w:b/>
        </w:rPr>
        <w:t>E. 2.1</w:t>
      </w:r>
    </w:p>
    <w:p>
      <w:r>
        <w:t>Der Beschwerdeführer hält fest, nachdem es die Polizei unterlassen habe, die Kleidung der Beschuldigten zu untersuchen, sei davon auszugehen, dass diese keine Blutspuren aufwies (mit Hinweis auf Urteil S. 26 und 29). Er folgert: "Die Vorinstanz geht damit - völlig zurecht, aber darauf ist sie zu behaften - davon aus, Schuhe und Kleidung des Beschwerdeführers wiesen nach dem angeblichen Angriff auch keine nur mit technischen Hilfsmitteln sichtbaren bzw. im Labor erkennbaren Blutspuren auf" (Beschwerde S. 7). Der Beschwerdeführer führt anschliessend aus, in naturwissenschaftlicher Hinsicht sei damit vorab von Interesse, welche Methoden heute standardmässig zum Nachweis von Blut angewandt würden. Er zitiert dazu KÖLZER, Die Aussagekraft humanspezifischer Bluttests zur Einschätzung des postmortalen Intervalls bei Knochenfunden, Diss. Giessen 2013, S. 3 f. (Beschwerde S. 7). Entgegen der Vorinstanz könne aus dem Fehlen von Blutspuren richtiger Weise nur geschlossen werden, dass die Beschuldigten nicht als Täter in Frage kommen. Aus dem Ablauf des Übergriffs könne zwar willkürfrei gefolgert werden, dass die Kleidung des Beschuldigten keine offensichtlichen bzw. auf den ersten Blick erkennbaren Blutspuren aufweisen musste. Aber es liege ausserhalb jeglicher Lebenserfahrung, dass keinerlei Blutpartikel vom Opfer auf die Täter übertragen wurden. "Wäre der Beschwerdeführer Täter gewesen, wären daher unter Anwendung der gängigen Untersuchungsmethoden ohne jeden vernünftigen Zweifel zumindest an den Schuhen, die er zur Tatausübung verwendet hätte, Blutspuren des Opfers festgestellt worden." Das Fehlen nachweisbarer Spuren an Schuhen/Kleidern des Beschwerdeführers schliesse diesen zwingend als Täter, der getreten hat, aus. Etwas anderes sei ihm nie vorgeworfen worden, so dass er vom Vorwurf freizusprechen sei (Beschwerde S. 8).</w:t>
      </w:r>
    </w:p>
    <w:p>
      <w:r>
        <w:rPr>
          <w:b/>
        </w:rPr>
        <w:t>E. 2.2</w:t>
      </w:r>
    </w:p>
    <w:p>
      <w:r>
        <w:t>Die Vorinstanz führt auf den Einwand der fehlenden Blutspuren durch die Verteidiger von X.________ und Y.________ aus, wie die Erstinstanz zutreffend ausgeführt habe, sei "davon auszugehen, dass die Kleidung der Beschuldigten keine Blutspuren oder sonstige offensichtlichen Verschmutzungen aufwiesen, ansonsten die Polizei dies festgestellt haben müsste und genauer untersucht hätte [Hinweis auf erstinstanzliches Urteil]. Aus dem Fehlen von Blutspuren und Flecken kann jedoch keineswegs abgeleitet werden, dass die Beschuldigten nicht als Täter in Frage kommen" (Urteil S. 26). Die Vorinstanz nimmt ferner an, soweit die Verteidigung geltend mache, die Strafuntersuchungsbehörden hätten es unterlassen, den Sachverhalt genügend abzuklären, respektive Beweise zu sichern, könne auf die Erstinstanz verwiesen werden. "Demnach war der Fall für die Polizei - gerade aufgrund der Identifikation durch das Ehepaar - sehr rasch klar, weswegen auch eine weitere Beweissicherung unterblieb" (Urteil S. 28). "Hat es die Polizei also unterlassen, die Kleidung der Beschuldigten zu untersuchen, ist davon auszugehen, dass diese keine Blutspuren aufwies" (Urteil S. 29).</w:t>
      </w:r>
    </w:p>
    <w:p>
      <w:r>
        <w:rPr>
          <w:b/>
        </w:rPr>
        <w:t>E. 2.3</w:t>
      </w:r>
    </w:p>
    <w:p>
      <w:r>
        <w:t>Die Vorinstanz stellt somit fest, dass die Polizei die Kleidung der Beschuldigten nicht auf Blutspuren untersuchte. "Schuhe" erwähnt die Vorinstanz nicht. Entgegen der Vorinstanz kann mangels Untersuchung nicht davon ausgegangen werden, dass die Kleidung "keine Blutspuren aufwies". Vielmehr kann, wie der Beschwerdeführer zutreffend festhält, lediglich "willkürfrei der Annahme gefolgt werden, dass die Kleidung des Beschuldigten keine offensichtlichen bzw. auf den ersten Blick erkennbaren Blutspuren aufweisen musste" (Beschwerde S. 8). Denn die Vorinstanz geht sachverhaltlich nur davon aus, dass "Blutspuren und Flecken" fehlten, "ansonsten die Polizei dies festgestellt haben müsste und genauer untersucht hätte" (oben E. 2.2). Angesichts der Tatsache, dass die Kleider nicht auf Blutspuren untersucht wurden, hätte die Vorinstanz berechtigter Weise nur diese Tatsache der fehlenden Untersuchung annehmen können. Entgegen dem Beschwerdeführer lässt sich aus der vorinstanzlichen Annahme jedoch nicht folgern, dass "Schuhe und Kleidung des Beschwerdeführers [...] auch keine nur mit technischen Hilfsmitteln sichtbaren bzw. im Labor erkennbaren Blutspuren" bzw. "keinerlei Blutpartikel vom Opfer" aufwiesen (oben E. 2.1). Ein solcher Sachverhalt wurde weder von der Polizei untersucht noch von der Vorinstanz in dieser Form angenommen. Der Beschwerdeführer zieht lediglich die nicht haltbare vorinstanzliche Schlussfolgerung aus der unterlassenen Beweissicherung und Untersuchung heran und reformuliert sie in einer Form, die weder mit dem Wortlaut noch dem Sinngehalt der vorinstanzlichen Annahme übereinstimmt. Seine Argumentation erweist sich als frei konstruiert. Für den Ausgang des Verfahrens ist der gerügte Mangel ( Art. 97 Abs. 1 BGG ) irrelevant.</w:t>
      </w:r>
    </w:p>
    <w:p>
      <w:r>
        <w:rPr>
          <w:b/>
        </w:rPr>
        <w:t>E. 2.4</w:t>
      </w:r>
    </w:p>
    <w:p>
      <w:r>
        <w:t>Die Vorinstanz unternimmt eine ausführliche Beweiswürdigung. Sie stellt wesentlich darauf ab, dass der Geschädigte und seine Ehefrau X.________ und Y.________, die beide am Tatort von der Polizei festgenommen wurden (Urteil S. 27), unabhängig voneinander als Täter identifizierten (Urteil S. 29). Dass das Ehepaar dazu nicht in der Lage gewesen oder einer Täuschung oder Falschbelastung unterlegen sein könnte, ist nicht ersichtlich. Die Ehefrau handelte trotz des brutalen Überfalls bewusstseinsklar und zielgerichtet. Dass sie sich eindeutig orientieren und erinnern konnte, beweist sowohl ihre Entscheidung zur sofortigen Rückfahrt mit dem Taxi und das Auffinden der Brille zu nächtlicher Stunde auf der Wiese wie auch ihr Handeln beim Ansichtigwerden der Schläger vor Ort (oben Bst. A). Der Hinweis des Beschwerdeführers, dass Fehlerquellen beim Wiedererkennen durch Zeugen eine Hauptursache von Fehlurteilen darstellten, lässt sich unabhängig von konkreten Anhaltspunkten für ein Vorliegen bei der Ehefrau nicht mit einem Wikipedia-Eintrag über statistisch signifikante Defizite bei der Einnahme von MDMA bei allen Gedächtnisarten begründen. Die drei Männer hielten sich einige Zeit unmittelbar beim Ehepaar auf, der Haupttäter sprach mit ihnen und verlangte wiederholt Zigaretten und schliesslich einen Joint. Der Übergriff erfolgte nicht überfallartig. Dem Geschädigten und seiner Ehefrau blieb genügend Zeit, sich die Gesichter der beiden Schläger einzuprägen (Urteil S. 22). Diese vorinstanzliche Annahme erweist sich nicht als offensichtlich unrichtig ( Art. 97 Abs. 1 BGG ). Sie ist vielmehr haltbar. Eine Verletzung des Grundsatzes in dubio pro reo ist zu verneinen, und zwar sowohl in seinem Gehalt als Beweiswürdigungsmaxime wie in ihrem nicht geltend gemachten Inhalt als "Beweislastregel" ( BGE 127 I 38 E. 2a).</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