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6B_760/2020 vom 7. Juli 2020</w:t>
      </w:r>
    </w:p>
    <w:p>
      <w:r>
        <w:t>Bundesgericht, 2020-07-07, FR</w:t>
      </w:r>
    </w:p>
    <w:p>
      <w:r>
        <w:rPr>
          <w:b/>
        </w:rPr>
        <w:t xml:space="preserve">Quelle: </w:t>
      </w:r>
      <w:r>
        <w:t>https://mcp.opencaselaw.ch/entscheid/bger_6B_760_2020</w:t>
      </w:r>
    </w:p>
    <w:p>
      <w:r>
        <w:t>FR: TF 6B_760/2020 du 7 juillet 2020</w:t>
      </w:r>
    </w:p>
    <w:p>
      <w:r>
        <w:t>IT: TF 6B_760/2020 del 7 luglio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 6B_307/2019 du 13 novembre 2019 consid. 4.1 non publié aux ATF 146 IV 76 ).</w:t>
      </w:r>
    </w:p>
    <w:p>
      <w:r>
        <w:rPr>
          <w:b/>
        </w:rPr>
        <w:t>E. 1.2</w:t>
      </w:r>
    </w:p>
    <w:p>
      <w:r>
        <w:t>En l'espèce, le recourant ne dit mot concernant d'éventuelles prétentions civiles qu'il pourrait faire valoir en raison des infractions dénoncées. Il apparaît en outre que le recourant s'est notamment plaint des agissements de policiers et d'autres membres des autorités, de sorte qu'il pourrait tout au plus émettre, à l'encontre de ces personnes, des prétentions reposant sur le droit public à raison de la responsabilité d'agents de l'Etat (cf. la loi vaudoise sur la responsabilité de l'Etat, des communes et de leurs agents [LRECA/VD; RS/VD 170.11]), lesquelles n'entrent pas dans la catégorie des prétentions civiles susmentionnées.</w:t>
      </w:r>
    </w:p>
    <w:p>
      <w:r>
        <w:t>Néanmoins, le recourant se plaint d'un abus d'autorité et prétend avoir subi des mauvais traitements de la part de membres de la police, ce qui pourrait être assimilé à un traitement inhumain ou dégradant au sens de l' art. 3 CEDH . La question peut être laissée ouverte, compte tenu du sort du recours.</w:t>
      </w:r>
    </w:p>
    <w:p>
      <w:r>
        <w:rPr>
          <w:b/>
        </w:rPr>
        <w:t>E. 2</w:t>
      </w:r>
    </w:p>
    <w:p>
      <w:r>
        <w:t>Le recourant produit un lot de pièces, lesquelles, pour autant qu'elles ne ressortent déjà du dossier cantonal, sont irrecevables (cf. art. 99 al. 1 LTF ).</w:t>
      </w:r>
    </w:p>
    <w:p>
      <w:r>
        <w:rPr>
          <w:b/>
        </w:rPr>
        <w:t>E. 3</w:t>
      </w:r>
    </w:p>
    <w:p>
      <w:r>
        <w:t>Le recourant reproche à l'autorité précédente d'avoir arbitrairement établi les faits.</w:t>
      </w:r>
    </w:p>
    <w:p>
      <w:r>
        <w:rPr>
          <w:b/>
        </w:rPr>
        <w:t>E. 3.1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145 IV 154 consid. 1.1 p. 156).</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Aux termes de l' art. 312 CP ,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rPr>
          <w:b/>
        </w:rPr>
        <w:t>E. 3.3</w:t>
      </w:r>
    </w:p>
    <w:p>
      <w:r>
        <w:t>La cour cantonale a exposé que les dénégations du recourant concernant le fait qu'il se fût présenté comme un policier pour entrer dans la "fan zone" n'étaient pas crédibles, puisqu'elles avaient été contredites par deux agents de sécurité, F.________ et E.________. Or, on ne voyait pas pourquoi ces derniers auraient inventé une telle histoire. Après la découverte de cette manoeuvre, la police était intervenue. Les policiers B.________ et C.________ avaient demandé au recourant de présenter ses papiers d'identité. Selon le rapport de police dressé par la suite, le recourant avait immédiatement adopté une attitude oppositionnelle, en contestant le bien-fondé de l'intervention policière et en refusant de s'identifier. Compte tenu des refus répétés du recourant de se soumettre aux ordres des agents de police et au vu de la forte affluence sur la place, il avait été décidé d'acheminer l'intéressé jusqu'au poste de police de K.________. Le recourant s'était derechef montré oppositionnel, en refusant de suivre les policiers, lesquels avaient dû pratiquer deux clés de transport pour emmener celui-ci dans leurs locaux en toute sécurité. Une fois arrivé au poste de police, le recourant avait refusé d'obéir aux injonctions des policiers et n'avait pas voulu s'identifier. B.________ et C.________ avaient dû maintenir ce dernier contre le mur avec deux clés de contrôle au niveau des bras, afin qu'un troisième agent pût procéder à une fouille, laquelle avait permis de découvrir la carte d'identité du recourant. Le comportement oppositionnel de l'intéressé s'était donc trouvé à l'origine de la fouille forcée. Au vu des images de vidéosurveillance versées au dossier, qui confirmaient ce qui figurait dans le rapport de police, l'intervention policière apparaissait proportionnée. Le recourant avait encore, par la suite, refusé de se soumettre à un éthylotest.</w:t>
      </w:r>
    </w:p>
    <w:p>
      <w:r>
        <w:t>Selon l'autorité précédente, il n'existait donc aucun indice pointant une éventuelle infraction commise par les policiers. Les circonstances de l'intervention policière avaient été confirmées par deux agents de sécurité et les images de vidéosurveillance confirmaient pour partie les informations ressortant du rapport de police. Il n'existait aucune raison de mettre en doute les déclarations des policiers. Ceux-ci, de même que les agents de sécurité concernés, n'avaient aucun intérêt à l'issue de la procédure, contrairement au recourant. Leurs observations ne comportaient aucune incertitude ni contradiction concernant le déroulement des événements. Enfin, aucun fait ne pouvait être reproché aux commandants successifs de la police municipale de H.________ visés par la plainte du recourant.</w:t>
      </w:r>
    </w:p>
    <w:p>
      <w:r>
        <w:rPr>
          <w:b/>
        </w:rPr>
        <w:t>E. 3.4</w:t>
      </w:r>
    </w:p>
    <w:p>
      <w:r>
        <w:t>Le recourant indique tout d'abord que la clé USB évoquée dans le dispositif de l'ordonnance de non-entrée en matière du 9 avril 2020 ne lui aurait pas été restituée. On ne discerne pas l'intérêt de cette remarque, le recourant ne prenant aucune conclusion à cet égard.</w:t>
      </w:r>
    </w:p>
    <w:p>
      <w:r>
        <w:rPr>
          <w:b/>
        </w:rPr>
        <w:t>E. 3.5</w:t>
      </w:r>
    </w:p>
    <w:p>
      <w:r>
        <w:t>Le recourant s'adonne ensuite à une discussion purement appellatoire - et partant irrecevable - des faits décrits par la cour cantonale, en opposant sa propre version des événements à celle de l'autorité précédente, sans démontrer en quoi celle-ci pourrait être arbitraire. On ne voit pas, en particulier, en quoi le rapport de police sur lequel s'est essentiellement fondée l'autorité précédente serait contradictoire et dénué de crédibilité.</w:t>
      </w:r>
    </w:p>
    <w:p>
      <w:r>
        <w:t>Contrairement à ce qu'affirme le recourant, le fait qu'il n'eût pas été dénoncé et poursuivi pour usurpation de fonction au sens de l' art. 287 CP ne fait aucunement apparaître comme insoutenable la constatation, tirée des déclarations de deux agents de sécurité, selon laquelle l'intéressé s'était présenté auprès d'eux comme un policier.</w:t>
      </w:r>
    </w:p>
    <w:p>
      <w:r>
        <w:t>Au demeurant, le recourant admet avoir refusé de s'identifier auprès des policiers, en affirmant que, selon lui, leur intervention aurait été injustifiée. Il ne démontre nullement, au moyen d'une argumentation répondant aux exigences de motivation découlant des art. 42 al. 2 et 106 al. 2 LTF, que l'état de fait sur lequel la cour cantonale a fondé son raisonnement serait entaché d'arbitraire.</w:t>
      </w:r>
    </w:p>
    <w:p>
      <w:r>
        <w:rPr>
          <w:b/>
        </w:rPr>
        <w:t>E. 3.6</w:t>
      </w:r>
    </w:p>
    <w:p>
      <w:r>
        <w:t>Pour le reste, le recourant ne présente aucune argumentation recevable, reposant sur l'état de fait de la cour cantonale, par lequel le Tribunal fédéral est lié (cf. art. 105 al. 1 LTF ), permettant de conclure à une éventuelle violation du droit fédéral par celle-ci dans la mesure où elle a confirmé le refus d'entrer en matière sur la plainte du 30 décembre 2019. Compte tenu des éléments au dossier, qui permettaient d'écarter la version des événements soutenue par le recourant, un acquittement des différentes personnes visées par la plainte du 30 décembre 2019 apparaît sensiblement plus probable qu'une condamnation, de sorte que l' art. 310 al. 1 let. a CPP n'a pas été violé.</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