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6B_758/2016 vom 12. Juli 2016</w:t>
      </w:r>
    </w:p>
    <w:p>
      <w:r>
        <w:t>Bundesgericht, 2016-07-12, DE</w:t>
      </w:r>
    </w:p>
    <w:p>
      <w:r>
        <w:rPr>
          <w:b/>
        </w:rPr>
        <w:t xml:space="preserve">Quelle: </w:t>
      </w:r>
      <w:r>
        <w:t>https://mcp.opencaselaw.ch/entscheid/bger_6B_758_2016</w:t>
      </w:r>
    </w:p>
    <w:p>
      <w:r>
        <w:t>FR: TF 6B_758/2016 du 12 juillet 2016</w:t>
      </w:r>
    </w:p>
    <w:p>
      <w:r>
        <w:t>IT: TF 6B_758/2016 del 12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Basel-Landschaft nahm am 7. April 2016 eine vom Beschwerdeführer gegen zwei Strafrichterinnen eingereichte Anzeige wegen Amtsmissbrauchs nicht an die Hand. Eine dagegen gerichtete Beschwerde wies das Kantonsgericht Basel-Landschaft am 7. Juni 2016 ab.</w:t>
      </w:r>
    </w:p>
    <w:p>
      <w:r>
        <w:t>Der Beschwerdeführer wendet sich ans Bundesgericht und beantragt, der Beschluss des Kantonsgerichts vom 7. Juni 2016 sei aufzuheben und die Sache zur Neubeurteilung im Sinne seiner Strafanzeige zurückzuweisen.</w:t>
      </w:r>
    </w:p>
    <w:p>
      <w:r>
        <w:rPr>
          <w:b/>
        </w:rPr>
        <w:t>E. 2</w:t>
      </w:r>
    </w:p>
    <w:p>
      <w:r>
        <w:t>Der Privatkläger ist zur Beschwerde gegen eine Einstellungsverfügung legitimiert, wenn der angefochtene Entscheid sich auf die Beurteilung seiner Zivilansprüche auswirken kann (Art. 81 Abs. 1 lit. b Ziff. 5 BGG). Als Zivilansprüche im Sinne dieser Bestimmung gelten solche, die ihren Grund im Zivilrecht haben und deshalb ordentlicherweise vor dem Zivilgericht durchgesetzt werden müssen. Öffentlich-rechtliche Ansprüche, auch solche aus Staatshaftung, können nicht adhäsionsweise im Strafprozess geltend gemacht werden und zählen nicht zu den Zivilansprüchen im Sinne von Art. 81 Abs. 1 lit. b Ziff. 5 BGG ( BGE 131 I 455 E. 1.2.4 S. 461; Urteil 6B_195/2016 vom 22. Juni 2016 E. 1.1).</w:t>
      </w:r>
    </w:p>
    <w:p>
      <w:r>
        <w:t>In Basel-Landschaft haften gemäss § 13 der Verfassung Kanton und Gemeinden für den Schaden, den ihre Organe rechtswidrig verursacht haben. Gegenüber der fehlbaren Person steht dem Geschädigten kein Anspruch zu (§ 3 Abs. 2 des Haftungsgesetzes). Auf die Beschwerde ist mangels Legitimation des Beschwerdeführers im Verfahren nach Art. 108 BGG nicht einzutreten.</w:t>
      </w:r>
    </w:p>
    <w:p>
      <w:r>
        <w:rPr>
          <w:b/>
        </w:rPr>
        <w:t>E. 3</w:t>
      </w:r>
    </w:p>
    <w:p>
      <w:r>
        <w:t>Die Gerichtskosten sind dem Beschwerdeführer aufzuerlegen ( Art. 66 Abs. 1 BGG ). Das Gesuch um unentgeltliche Rechtspflege ist in Anwendung von Art. 64 BGG abzuweisen, weil die Rechtsbegehren aussichtslos erschienen. Der finanziellen Lage des sich im Gefängnis A.________ befindenden Beschwerdeführers ist bei der Bemessung der Gerichtskosten Rechnung zu tragen ( Art. 65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