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757/2012 vom 27. Mai 2013</w:t>
      </w:r>
    </w:p>
    <w:p>
      <w:r>
        <w:t>Bundesgericht, 2013-05-27, DE</w:t>
      </w:r>
    </w:p>
    <w:p>
      <w:r>
        <w:rPr>
          <w:b/>
        </w:rPr>
        <w:t xml:space="preserve">Quelle: </w:t>
      </w:r>
      <w:r>
        <w:t>https://mcp.opencaselaw.ch/entscheid/bger_6B_757_2012</w:t>
      </w:r>
    </w:p>
    <w:p>
      <w:r>
        <w:t>FR: TF 6B 757/2012 du 27 mai 2013</w:t>
      </w:r>
    </w:p>
    <w:p>
      <w:r>
        <w:t>IT: TF 6B 757/2012 del 27 maggio 2013</w:t>
      </w:r>
    </w:p>
    <w:p>
      <w:pPr>
        <w:pStyle w:val="Heading2"/>
      </w:pPr>
      <w:r>
        <w:t>Regeste</w:t>
      </w:r>
    </w:p>
    <w:p>
      <w:r>
        <w:t>Mord, Willkür | Straftaten</w:t>
      </w:r>
    </w:p>
    <w:p>
      <w:pPr>
        <w:pStyle w:val="Heading2"/>
      </w:pPr>
      <w:r>
        <w:t>Erwägungen</w:t>
      </w:r>
    </w:p>
    <w:p>
      <w:r>
        <w:rPr>
          <w:b/>
        </w:rPr>
        <w:t>E. 1.1</w:t>
      </w:r>
    </w:p>
    <w:p>
      <w:r>
        <w:t>Der Beschwerdeführer rügt, die Vorinstanz habe den Grundsatz "in dubio pro reo" als Beweislast- und Beweiswürdigungsregel verletzt. Ein direkter Beweis liege nicht vor. Die Vorinstanz habe ihn mittels Indizienprozess verurteilt. Es bestünden keine klaren Indizien für eine Mittäterschaft. Ihre Schlussfolgerung, dass zweifelsfrei zwei Täter erforderlich gewesen seien, gehe fehl. Er habe mehrfach ausgesagt, dass noch weitere Täter an der Tat beteiligt waren, was nicht ausgeschlossen werden könne. Auch wenn feststehen sollte, dass zwei Täter die inkriminierten Handlungen begangen hätten, sei damit noch nicht bewiesen, dass er in der fraglichen Wohnung gewesen sei (Beschwerde, S. 3). Die Vorinstanz stütze ihre Argumentation auf die Aussagen von B.________, obwohl dieser zum Tatortgeschehen nachweislich falsch ausgesagt habe. Trotzdem stufe sie seine Aussagen zur Mittäterschaft als sehr glaubhaft und verlässlich ein. Eine derartige Beweiswürdigung sei völlig unhaltbar und verfassungswidrig. Rechtsstaatlich bedenklich seien auch die vom Untersuchungsrichter in Aussicht gestellten Hafterleichterungen und ein Revisionsverfahren, wenn B.________ den Mittäter nenne (Beschwerde, S. 4). Die Vorinstanz behafte ihn zu Unrecht auf seinem Teilgeständnis, obwohl er wichtige Punkte nicht habe nennen können und keine Tatortkenntnisse gehabt habe. Die Vorinstanz würdige seine Emotionalität beim Geständnis falsch. Er habe Emotionen gezeigt, weil er Angst gehabt habe und unter Druck gesetzt worden sei. Es sei unhaltbar, dass sie den Widerruf seines Geständnisses nicht gelten lassen wolle. Obwohl die Fesselung und Knebelung die Handschrift von B.________ trage, beharre die Vorinstanz darauf, dass zwei Täter auf das Opfer eingewirkt hätten; ungeachtet der Tatsache, dass es alt und schwach gewesen sei und von einer Person hätte überwältigt werden können. Weiter gebe es zahlreiche Unklarheiten der Schuhspuren am Tatort. Es sei nicht ausgeschlossen, dass sie zu einem Dritttäter gehörten. Schliesslich stufe die Vorinstanz den Entlastungszeugen C.________ ohne Begründung als unglaubwürdig ein (Beschwerde, S. 4 f.).</w:t>
      </w:r>
    </w:p>
    <w:p>
      <w:r>
        <w:rPr>
          <w:b/>
        </w:rPr>
        <w:t>E. 1.2</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Auf eine rein appellatorische Kritik tritt das Bundesgericht nicht ein ( BGE 137 IV 1 E. 4.2.3; 136 II 489 E. 2.8; je mit Hinweisen).</w:t>
      </w:r>
    </w:p>
    <w:p>
      <w:r>
        <w:rPr>
          <w:b/>
        </w:rPr>
        <w:t>E. 1.3</w:t>
      </w:r>
    </w:p>
    <w:p>
      <w:r>
        <w:t>Der Beschwerdeführer legt in seiner Sachverhaltsrüge lediglich die eigene Sicht der Dinge dar. Er zeigt jedoch nicht auf, inwiefern die vorinstanzlichen Erwägungen geradezu unhaltbar wären. Dies betrifft etwa seine Vorbringen, B.________ könne nicht gleichzeitig unglaubhaft und glaubhaft aussagen, es hätten nicht zwei Täter auf das Opfer eingewirkt oder es gebe zahlreiche Unklarheiten der Schuhspuren am Tatort. Auf die umfangreichen und sorgfältigen Erwägungen der Vorinstanz kann verwiesen werden. Sie stellt den bestrittenen Sachverhalt minutiös fest (Urteil, S. 22-51) und leitet daraus ein willkürfreies Beweisergebnis ab (Urteil, S. 51 f.), das der Beschwerdeführer mit seiner appellatorischen Kritik nicht in Frage stellen kann. Auf seine Kritik an den vorinstanzlichen Sachverhaltsfeststellungen ist nicht einzutreten.</w:t>
      </w:r>
    </w:p>
    <w:p>
      <w:r>
        <w:rPr>
          <w:b/>
        </w:rPr>
        <w:t>E. 2</w:t>
      </w:r>
    </w:p>
    <w:p>
      <w:r>
        <w:t>Auf die Beschwerde ist nicht einzutreten.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