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6B_756/2019 vom 6. August 2019</w:t>
      </w:r>
    </w:p>
    <w:p>
      <w:r>
        <w:t>Bundesgericht, 2019-08-06, DE</w:t>
      </w:r>
    </w:p>
    <w:p>
      <w:r>
        <w:rPr>
          <w:b/>
        </w:rPr>
        <w:t xml:space="preserve">Quelle: </w:t>
      </w:r>
      <w:r>
        <w:t>https://mcp.opencaselaw.ch/entscheid/bger_6B_756_2019</w:t>
      </w:r>
    </w:p>
    <w:p>
      <w:r>
        <w:t>FR: TF 6B_756/2019 du 6 août 2019</w:t>
      </w:r>
    </w:p>
    <w:p>
      <w:r>
        <w:t>IT: TF 6B_756/2019 del 6 agosto 2019</w:t>
      </w:r>
    </w:p>
    <w:p>
      <w:pPr>
        <w:pStyle w:val="Heading2"/>
      </w:pPr>
      <w:r>
        <w:t>Erwägungen</w:t>
      </w:r>
    </w:p>
    <w:p>
      <w:r>
        <w:rPr>
          <w:b/>
        </w:rPr>
        <w:t>E. 1</w:t>
      </w:r>
    </w:p>
    <w:p>
      <w:r>
        <w:t>Der Beschwerdeführer erstattete im Mai und Juni 2015 Strafanzeige gegen X.________ und Y.________. X.________ warf er vor, er habe ein obszönes und ehrverletzendes Gedicht in seinem (des Beschwerdeführers) Namen geschrieben und dieses am gemeinsamen Arbeitsort auftauchen lassen. Seinem Vorgesetzten Urs Balmer machte er zum Vorwurf, dass er ihm den Printscreen-Ausdruck des Gedichts während Wochen verheimlicht und diesen stattdessen an die Personalverantwortliche weitergeleitet habe.</w:t>
      </w:r>
    </w:p>
    <w:p>
      <w:r>
        <w:t>Mit Verfügung vom 18. Februar 2016 nahm die Staatsanwaltschaft die Strafuntersuchung gegen X.________ und Y.________ nicht an die Hand.</w:t>
      </w:r>
    </w:p>
    <w:p>
      <w:r>
        <w:t>Am 6. August 2018 erstattete der Beschwerdeführer eine weitere Strafanzeige wegen Begünstigung, Nötigung und Falschrapportierung bzw. Falschbeurkundung. Die Strafanzeige richtete sich gegen zwei Polizistinnen der Stadtpolizei Zürich, welche die Strafanzeigen des Beschwerdeführers gegen X.________ und Y.________ entgegengenommen hatten.</w:t>
      </w:r>
    </w:p>
    <w:p>
      <w:r>
        <w:t>Die Staatsanwaltschaft Zürich-Limmat nahm die Untersuchung gegen die beiden Stadtpolizistinnen mit Verfügung vom 22. Januar 2019 nicht an die Hand. Das Obergericht des Kantons Zürich wies die vom Beschwerdeführer dagegen erhobene Beschwerde mit Beschluss vom 21. Mai 2019 ab, soweit es darauf eintrat.</w:t>
      </w:r>
    </w:p>
    <w:p>
      <w:r>
        <w:t>Der Beschwerdeführer beantragt mit Beschwerde in Strafsachen, der Beschluss vom 21. Mai 2019 sei aufzuheben.</w:t>
      </w:r>
    </w:p>
    <w:p>
      <w:r>
        <w:rPr>
          <w:b/>
        </w:rPr>
        <w:t>E. 2</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w:t>
      </w:r>
    </w:p>
    <w:p>
      <w:r>
        <w:rPr>
          <w:b/>
        </w:rPr>
        <w:t>E. 3</w:t>
      </w:r>
    </w:p>
    <w:p>
      <w:r>
        <w:t>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Allfällige Schadenersatz- oder Genugtuungsansprüche des Beschwerdeführers aus dem behaupteten Fehlverhalten der beiden Polizistinnen der Stadtpolizei Zürich beurteilen sich demnach nach dem Haftungsgesetz des Kantons Zürich und sind öffentlich-rechtlicher Natur. Da dem Beschwerdeführer gegen die angezeigten Polizistinnen keine Zivilansprüche im Sinne von Art. 81 Abs. 1 lit. b Ziff. 5 BGG zustehen, ist er in der Sache nicht beschwerdelegitimiert (vgl. etwa Urteil 6B_1333/2018 vom 26. Februar 2019 E. 2).</w:t>
      </w:r>
    </w:p>
    <w:p>
      <w:r>
        <w:rPr>
          <w:b/>
        </w:rPr>
        <w:t>E. 4</w:t>
      </w:r>
    </w:p>
    <w:p>
      <w:r>
        <w:t>Eine formelle Rechtsverweigerung im Sinne der "Star-Praxis" (vgl. dazu BGE 141 IV 1 E. 1.1 S. 5; 138 IV 78 E. 1.3 S. 79 f.; 136 IV 29 E. 1.9 S. 40) ist nicht gerügt (Art. 42 Abs. 2 i.V.m Art. 106 Abs. 2 BGG ).</w:t>
      </w:r>
    </w:p>
    <w:p>
      <w:r>
        <w:rPr>
          <w:b/>
        </w:rPr>
        <w:t>E. 5</w:t>
      </w:r>
    </w:p>
    <w:p>
      <w:r>
        <w:t>Auf die Beschwerde ist im Verfahren nach Art. 108 BGG nicht einzutreten. Die Gerichtskosten sind dem Beschwerdeführer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