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756/2015 vom 3. Juni 2016</w:t>
      </w:r>
    </w:p>
    <w:p>
      <w:r>
        <w:t>Bundesgericht, 2016-06-03, FR</w:t>
      </w:r>
    </w:p>
    <w:p>
      <w:r>
        <w:rPr>
          <w:b/>
        </w:rPr>
        <w:t xml:space="preserve">Quelle: </w:t>
      </w:r>
      <w:r>
        <w:t>https://mcp.opencaselaw.ch/entscheid/bger_6B_756_2015</w:t>
      </w:r>
    </w:p>
    <w:p>
      <w:r>
        <w:t>FR: TF 6B 756/2015 du 3 juin 2016</w:t>
      </w:r>
    </w:p>
    <w:p>
      <w:r>
        <w:t>IT: TF 6B 756/2015 del 3 giugno 2016</w:t>
      </w:r>
    </w:p>
    <w:p>
      <w:pPr>
        <w:pStyle w:val="Heading2"/>
      </w:pPr>
      <w:r>
        <w:t>Regeste</w:t>
      </w:r>
    </w:p>
    <w:p>
      <w:r>
        <w:t>Entrave aux mesures de constatation de l'incapacité de conduire | Infractions</w:t>
      </w:r>
    </w:p>
    <w:p>
      <w:pPr>
        <w:pStyle w:val="Heading2"/>
      </w:pPr>
      <w:r>
        <w:t>Erwägungen</w:t>
      </w:r>
    </w:p>
    <w:p>
      <w:r>
        <w:rPr>
          <w:b/>
        </w:rPr>
        <w:t>E. 1</w:t>
      </w:r>
    </w:p>
    <w:p>
      <w:r>
        <w:t>Le recourant reproche à la cour cantonale d'avoir violé l' art. 91a al. 1 LCR . Il soutient que les éléments constitutifs objectifs et subjectifs de l'entrave aux mesures de constatation de l'incapacité de conduire ne sont pas réalisés.</w:t>
      </w:r>
    </w:p>
    <w:p>
      <w:r>
        <w:rPr>
          <w:b/>
        </w:rPr>
        <w:t>E. 1.1.1</w:t>
      </w:r>
    </w:p>
    <w:p>
      <w:r>
        <w:t>Aux termes de l' art.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Comme sous l'ancien art. 91 al. 3 LCR ,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consid. 2a p. 55 s.; arrêts 6B_17/2012 du 30 avril 2012 consid. 3.2.1 et 6B_168/2009 du 19 mai 2009 consid. 1.2). Déterminer si une mesure de constatation de l'état d'incapacité du conducteur était hautement vraisemblable est une question de droit que le Tribunal fédéral examine librement (voir arrêt 6B_927/2014 du 16 janvier 2015 consid. 2.3 et l'arrêt cité).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Indépendamment du devoir d'aviser la police en cas d'accident, le fait de consommer de l'alcool après un accident pouvant motiver un ordre de prise de sang peut remplir les conditions objectives de l'entrave au sens de l' art. 91a LCR . Sur le plan objectif, il est nécessaire que la prise de sang ait été hautement vraisemblable et que la consommation d'alcool après l'accident alléguée ait rendu impossible la constatation de l'alcoolémie au moment déterminant. Subjectivement, il faut que le conducteur ait eu la conscience de la haute vraisemblance de la prise de sang et qu'il ait voulu entraver cette mesure (voir ATF 131 IV 36 consid. 2.2.4 p. 40 rendu sous l'empire de l'art. 91 al. 3 aLCR; ATF 114 IV 148 consid. 3).</w:t>
      </w:r>
    </w:p>
    <w:p>
      <w:r>
        <w:rPr>
          <w:b/>
        </w:rPr>
        <w:t>E. 1.1.2</w:t>
      </w:r>
    </w:p>
    <w:p>
      <w:r>
        <w:t>Conformément à l' art. 55 al. 1 LCR ,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 55 al. 2 LCR prévoyait " un examen approprié lorsque les indices permettent de conclure qu'ils sont pris de boisson ". Par ailleurs, depuis le 1er janvier 2008, l'art. 10 al. 1 de l'ordonnance sur le contrôle de la circulation routière du 28 mars 2007 (OCCR; 741.013) permet à la police de procéder de manière systématique à des tests préliminaires pour déterminer s'il y a eu consommation d'alcool. Cette évolution législative étend le champ des situations dans lesquelles des mesures visant à établir l'alcoolémie des usagers de la route sont ordonnées.</w:t>
      </w:r>
    </w:p>
    <w:p>
      <w:r>
        <w:rPr>
          <w:b/>
        </w:rPr>
        <w:t>E. 1.1.3</w:t>
      </w:r>
    </w:p>
    <w:p>
      <w:r>
        <w:t>En considération de l'évolution législative qui précède, il y a de manière générale lieu de s'attendre à un contrôle de l'alcoolémie à l'alcootest en cas d'accident, sous réserve que celui-ci soit indubitablement imputable à une cause totalement indépendante du conducteur.</w:t>
      </w:r>
    </w:p>
    <w:p>
      <w:r>
        <w:rPr>
          <w:b/>
        </w:rPr>
        <w:t>E. 1.2</w:t>
      </w:r>
    </w:p>
    <w:p>
      <w:r>
        <w:t>La cour cantonale a admis que le recourant pouvait s'attendre à ce que la police procède à un contrôle afin d'établir s'il était pris de boisson au moment des faits, au motif qu'il avait percuté du gibier, qu'il faisait nuit au moment de l'accident, que son véhicule ne pouvait plus rouler, qu'il sentait l'alcool et que ses déclarations relatives à sa consommation d'alcool étaient contradictoires. Le recourant soutient que tel n'était pas le cas et conteste avoir eu conscience qu'une prise de sang était hautement vraisemblable et avoir cherché à se dérober à cette mesure.</w:t>
      </w:r>
    </w:p>
    <w:p>
      <w:r>
        <w:rPr>
          <w:b/>
        </w:rPr>
        <w:t>E. 1.3</w:t>
      </w:r>
    </w:p>
    <w:p>
      <w:r>
        <w:t>Les circonstances de l'accident provoqué par le recourant ne peuvent pas être considérées comme banales puisque celui-ci a percuté un sanglier sans qu'aucun élément particulier n'explique la collision. Dans une telle configuration, l'ordre de se soumettre à un contrôle d'alcoolémie apparaissait comme hautement vraisemblable, ce qui ne pouvait échapper au recourant, de sorte que tant l'aspect objectif que subjectif de l'infraction sont réalisés. Le jugement attaqué ne retient par ailleurs pas que la fixation de l'alcoolémie au moment déterminant aurait été possible en l'espèce nonobstant la consommation d'alcool (Carmol) après l'accident. Il faut ainsi retenir que le comportement du recourant a rendu impossible la constatation de son état au moment déterminant. L'infraction est réalisée.</w:t>
      </w:r>
    </w:p>
    <w:p>
      <w:r>
        <w:rPr>
          <w:b/>
        </w:rPr>
        <w:t>E. 2</w:t>
      </w:r>
    </w:p>
    <w:p>
      <w:r>
        <w:t>Le recours est rejeté. Le recourant, qui succombe, supportera les frais de justice ( art. 66 al. 1 LTF ). Enfin, la cause étant ainsi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