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756/2014 vom 16. Dezember 2014</w:t>
      </w:r>
    </w:p>
    <w:p>
      <w:r>
        <w:t>Bundesgericht, 2014-12-16, DE</w:t>
      </w:r>
    </w:p>
    <w:p>
      <w:r>
        <w:rPr>
          <w:b/>
        </w:rPr>
        <w:t xml:space="preserve">Quelle: </w:t>
      </w:r>
      <w:r>
        <w:t>https://mcp.opencaselaw.ch/entscheid/bger_6B_756_2014</w:t>
      </w:r>
    </w:p>
    <w:p>
      <w:r>
        <w:t>FR: TF 6B 756/2014 du 16 décembre 2014</w:t>
      </w:r>
    </w:p>
    <w:p>
      <w:r>
        <w:t>IT: TF 6B 756/2014 del 16 dicembre 2014</w:t>
      </w:r>
    </w:p>
    <w:p>
      <w:pPr>
        <w:pStyle w:val="Heading2"/>
      </w:pPr>
      <w:r>
        <w:t>Regeste</w:t>
      </w:r>
    </w:p>
    <w:p>
      <w:r>
        <w:t>Strafbefehl, Nichteintreten auf Einsprache infolge Verspätung | Strafprozess</w:t>
      </w:r>
    </w:p>
    <w:p>
      <w:pPr>
        <w:pStyle w:val="Heading2"/>
      </w:pPr>
      <w:r>
        <w:t>Erwägungen</w:t>
      </w:r>
    </w:p>
    <w:p>
      <w:r>
        <w:rPr>
          <w:b/>
        </w:rPr>
        <w:t>E. 1</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w:t>
      </w:r>
    </w:p>
    <w:p>
      <w:r>
        <w:t>Wird gegen einen Strafbefehl Einsprache erhoben, so nimmt die Staatsanwaltschaft die weiteren Beweise ab, die zur Beurteilung der Einsprache erforderlich sind ( Art. 355 Abs. 1 StPO ). Nach Abnahme der Beweise entscheidet die Staatsanwaltschaft, ob sie am Strafbefehl festhält, das Verfahren einstellt, einen neuen Strafbefehl erlässt oder Anklage beim erstinstanzlichen Gericht erhebt ( Art. 355 Abs. 3 StPO ). Entschliesst sich die Staatsanwaltschaft, am Strafbefehl festzuhalten, so überweist sie die Akten unverzüglich dem erstinstanzlichen Gericht zur Durchführung des Hauptverfahrens. Der Strafbefehl gilt als Anklageschrift ( Art. 356 Abs. 1 StPO ). Das erstinstanzliche Gericht entscheidet über die Gültigkeit des Strafbefehls und der Einsprache ( Art. 356 Abs. 2 StPO ). Über die Gültigkeit der Einsprache vom 6. Dezember 2013 entschied die Staatsanwaltschaft und erliess zu diesem Zweck eine Feststellungsverfügung. Sie stützte sich dabei zu Unrecht auf Art. 438 Abs. 3 StPO . Gemäss dieser Bestimmung entscheidet die Behörde, welche einen Entscheid gefällt hat, über den Eintritt der Rechtskraft, wenn diese strittig ist. Denkbar sind Fälle, in denen der Eintritt der Rechtskraft überhaupt oder deren Zeitpunkt bestritten ist (Botschaft vom 21. Dezember 2005 zur Vereinheitlichung des Strafprozessrechts, BBl 2006 1333 Ziff. 2.11.1). Dies ist vorliegend nicht der Fall. Der Verfahrensgang nach erfolgter Einsprache richtet sich ausschliesslich nach Art. 355 f. StPO. Die Staatsanwaltschaft war nicht befugt, über die Gültigkeit der Einsprache zu entscheiden. Dafür ist allein das erstinstanzliche Gericht zuständig. Die Beschwerde ist gutzuheissen. Der Beschluss des Kantonsgerichts Luzern vom 6. Juni 2014 ist aufzuheben und die Sache zur neuen Beurteilung an die Vorinstanz zurückzuweisen. Diese wird der Staatsanwaltschaft die Möglichkeit einzuräumen haben, über das weitere Vorgehen im Sinne von Art. 355 Abs. 1 und Abs. 3 lit. a-d StPO zu entscheiden. Hält diese am Strafbefehl nach Art. 355 Abs. 3 lit. a StPO weiterhin fest, wird das erstinstanzliche Gericht über die Gültigkeit des Strafbefehls und der Einsprache zu befinden haben. Damit erübrigt es sich, auf die weiteren Rügen des Beschwerdeführers näher einzugehen (vgl. Urteil des Bundesgerichts 6B_122/2014 vom 25. September 2014 E. 1.4, zur Publikation vorgesehen).</w:t>
      </w:r>
    </w:p>
    <w:p>
      <w:r>
        <w:rPr>
          <w:b/>
        </w:rPr>
        <w:t>E. 3</w:t>
      </w:r>
    </w:p>
    <w:p>
      <w:r>
        <w:t>Bei diesem Ausgang des Verfahrens sind keine Gerichtskosten zu erheben (Art. 66 Abs. 1 in Verbindung mit Abs. 4 BGG). Der Kanton Luzern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