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6B_755/2025 vom 27. November 2025</w:t>
      </w:r>
    </w:p>
    <w:p>
      <w:r>
        <w:t>Bundesgericht, 2025-11-27, DE</w:t>
      </w:r>
    </w:p>
    <w:p>
      <w:r>
        <w:rPr>
          <w:b/>
        </w:rPr>
        <w:t xml:space="preserve">Quelle: </w:t>
      </w:r>
      <w:r>
        <w:t>https://mcp.opencaselaw.ch/entscheid/bger_6B_755_2025</w:t>
      </w:r>
    </w:p>
    <w:p>
      <w:r>
        <w:t>FR: TF 6B_755/2025 du 27 novembre 2025</w:t>
      </w:r>
    </w:p>
    <w:p>
      <w:r>
        <w:t>IT: TF 6B_755/2025 del 27 novembre 2025</w:t>
      </w:r>
    </w:p>
    <w:p>
      <w:pPr>
        <w:pStyle w:val="Heading2"/>
      </w:pPr>
      <w:r>
        <w:t>Erwägungen</w:t>
      </w:r>
    </w:p>
    <w:p>
      <w:r>
        <w:rPr>
          <w:b/>
        </w:rPr>
        <w:t>E. 1.1</w:t>
      </w:r>
    </w:p>
    <w:p>
      <w:r>
        <w:t>Der Beschwerdeführer wendet sich gegen die vorinstanzliche Sachverhaltsfeststellung und Beweiswürdigung. Er rügt, die Vorinstanz stelle den Sachverhalt willkürlich und in Verletzung des Grundsatzes "in dubio pro reo" fest. Ferner macht er geltend, die Vorinstanz verletze seinen Anspruch auf rechtliches Gehör, indem sie die von ihm beantragten Beweise nicht abnehme und sich nicht mit seinen Argumenten auseinandersetze.</w:t>
      </w:r>
    </w:p>
    <w:p>
      <w:r>
        <w:rPr>
          <w:b/>
        </w:rPr>
        <w:t>E. 1.2</w:t>
      </w:r>
    </w:p>
    <w:p>
      <w:r>
        <w:t>Die Vorinstanz hält einleitend fest, es gebe zwei Versionen über die Ereignisse ab dem Zeitpunkt, an dem die Beschwerdegegnerin 2 in den frühen Morgenstunden des 1. Januar 2022 nach Arbeitsschluss das Restaurant C.________ in U.________ verliess und sich auf dem Weg zu ihrem Auto aufmachte. Der Beschwerdeführer bestreite, dass er der Beschwerdegegnerin 2 auf dem Weg zu ihrem Auto gefolgt sei, sie überfallen und unter Einsatz von Gewalt an ihr sexuelle Handlungen vorgenommen habe. Hingegen gebe er an, es sei zwischen ihm und der Beschwerdegegnerin 2 an jenem Neujahrsmorgen zu einvernehmlichen sexuellen Handlungen gekommen. Die sexuellen Handlungen seien auf einer Sitzbank gegenüber der Bank D.________ in U.________ erfolgt. Die Beschwerdegegnerin 2 bestreite, je auf einer Sitzbank im Dorfzentrum Platz genommen zu haben. Die Vorinstanz gibt zunächst die Aussagen der Beschwerdegegnerin 2, der Auskunftspersonen, der Zeugen und des Beschwerdeführers sowie die Ergebnisse der Gutachten des Instituts für Rechtsmedizin St. Gallen (IRM), der Auswertung der Überwachungskameras und der elektronischen Geräte des Beschwerdeführers zusammengefasst wieder. In der Folge würdigt sie die Aussagen der Beschwerdegegnerin 2 ausführlich und hält zusammenfassend fest, es sei praktisch ausgeschlossen, eine derart detailreiche, stimmige und widerspruchsfreie Aussage, die zahlreiche Realkennzeichen enthalte und überdies in weiten Teilen durch die vorhandenen Beweismittel bestätigt würde, zu erfinden. Folglich könne zweifelsfrei davon ausgegangen werden, dass die von der Beschwerdegegnerin 2 geschilderten Ereignisse vom frühen Neujahrsmorgen des 1. Januar 2022 erlebnisbasiert seien. Die Vorinstanz widmet sich ferner ausführlich der Würdigung der Aussagen des Beschwerdeführers und setzt sich auch mit dessen Vorbringen anlässlich der Berufungsverhandlung auseinander. Sie zeigt auf, dass sie erhebliche Zweifel an der Glaubhaftigkeit der Aussagen des Beschwerdeführers habe, obwohl seine Version der Ereignisse detailliert sei. Die von ihm getätigten Aussagen, die diametral von denjenigen der Beschwerdegegnerin 2 abwichen, wiesen jedoch in zentralen Punkten zahlreiche Widersprüche sowie Ungereimtheiten auf und stünden überdies mit verschiedenen Aktenbeweisen in Widerspruch. Die Vorinstanz gelangt zum Schluss, dass der vom Beschwerdeführer behauptete Vorfall mitunter auch aus zeitlichen Gründen gestützt auf die Akten nicht stattgefunden haben könne und von ihm erfunden worden sei. Sie hält fest, sie sei gestützt auf die Akten, die auf den Beschwerdeführer als Täter hinwiesen, vielmehr davon überzeugt, dass dieser für den sexuellen Übergriff am frühen Morgen des 1. Januar 2022 auf die Beschwerdegegnerin 2 verantwortlich sei, so wie diese ihn geschildert habe (Urteil S. 56-88).</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w:t>
      </w:r>
    </w:p>
    <w:p>
      <w:r>
        <w:t>( BGE 150 IV 360 E. 3.2.1; 148 IV 356 E. 2.1, 39 E. 2.6; 147 IV 73</w:t>
      </w:r>
    </w:p>
    <w:p>
      <w:r>
        <w:t>E. 4.1.2; je mit Hinweisen).</w:t>
      </w:r>
    </w:p>
    <w:p>
      <w:r>
        <w:rPr>
          <w:b/>
        </w:rPr>
        <w:t>E. 1.3.2</w:t>
      </w:r>
    </w:p>
    <w:p>
      <w:r>
        <w:t>Das Sachgericht würdigt die Beweise frei nach seiner aus dem gesamten Verfahren gewonnenen Überzeugung ( Art. 10 Abs. 2 StPO ). Ihm steht dabei von Gesetzes wegen ein weites Ermessen zu ( BGE 143 IV 347 E. 4.4).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6B_382/2024 vom 6. Februar 2025 E. 3.4; 6B_736/2024 vom 13. Januar 2025 E. 2.3.3; je mit Hinweisen). Damit kommt dem Grundsatz "in dubio pro reo" in seiner Funktion als Beweiswürdigungsregel im Verfahren vor Bundesgericht keine über das Willkürverbot von</w:t>
      </w:r>
    </w:p>
    <w:p>
      <w:r>
        <w:t>Art. 9 BV hinausgehende Bedeutung zu ( BGE 148 IV 409 E. 2.2;</w:t>
      </w:r>
    </w:p>
    <w:p>
      <w:r>
        <w:t>146 IV 297 E. 2.2.5, 88 E. 1.3.1; 145 IV 154 E. 1.1; 143 IV 500 E. 1.1; je mit Hinweisen).</w:t>
      </w:r>
    </w:p>
    <w:p>
      <w:r>
        <w:t>Auf die Frage, welche Beweismittel zu berücksichtigen und wie sie gegebenenfalls zu würdigen sind, findet der In-dubio-pro-reo-Grundsatz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w:t>
      </w:r>
    </w:p>
    <w:p>
      <w:r>
        <w:t>E. 2.2.3.1 f.; Urteile 6B_382/2024 vom 6. Februar 2025 E. 3.4; 6B_736/2024 vom 13. Januar 2025 E. 2.3.3; je mit Hinweisen).</w:t>
      </w:r>
    </w:p>
    <w:p>
      <w:r>
        <w:rPr>
          <w:b/>
        </w:rPr>
        <w:t>E. 1.3.3</w:t>
      </w:r>
    </w:p>
    <w:p>
      <w:r>
        <w:t>Über Tatsachen, die unerheblich, offenkundig, der Strafbehörde bekannt oder bereits rechtsgenügend erwiesen sind, wird nicht Beweis geführt ( Art. 139 Abs. 2 StPO ). Die Strafbehörden können ohne Verletzung des rechtlichen Gehörs ( Art. 29 Abs. 2 BV ) und des Untersuchungsgrundsatzes ( Art. 6 StPO ) auf die Abnahme weiterer Beweise verzichten, wenn sie in Würdigung der bereits abgenommenen Beweise zur Überzeugung gelangen, der rechtlich erhebliche Sachverhalt sei genügend abgeklärt, und sie überdies in antizipierter Beweiswürdigung zum Schluss kommen, ein an sich taugliches Beweismittel vermöge ihre aufgrund der bereits abgenommenen Beweismittel gewonnene Überzeugung von der Wahrheit oder Unwahrheit einer strittigen Tatsache nicht zu ändern ( BGE 147 IV 534 E. 2.5.1 mit Hinweisen). Das Bundesgericht prüft die Rüge unzulässiger antizipierter Beweiswürdigung nur unter dem Aspekt der Willkür ( BGE 147 IV 534 E. 2.5.1; 146 III 73 E. 5.2.2; vgl. zum Begriff der Willkür oben</w:t>
      </w:r>
    </w:p>
    <w:p>
      <w:r>
        <w:t>E. 1.3.1). Art. 139 Abs. 2 StPO ist die gesetzliche Umschreibung der Konstellationen, in welchen eine antizipierte Beweiswürdigung zulässig ist (Urteile 7B_540/2023 vom 6. Februar 2025 E. 7.3; 6B_219/2021 vom 19. April 2023 E. 2.2, nicht publ. in: BGE 149 IV 249 ; je mit Hinweisen).</w:t>
      </w:r>
    </w:p>
    <w:p>
      <w:r>
        <w:rPr>
          <w:b/>
        </w:rPr>
        <w:t>E. 1.3.4</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1.4.1</w:t>
      </w:r>
    </w:p>
    <w:p>
      <w:r>
        <w:t>Vorab ist festzuhalten, dass sich der Beschwerdeführer in seiner eigenhändig verfassten Beschwerde weitestgehend darauf beschränkt, aufzuzeigen, wie die Beweise, insbesondere seine Aussagen und jene der Beschwerdegegnerin 2, aus seiner Sicht zu würdigen seien, ohne jedoch auf die ausführliche Begründung der Vorinstanz einzugehen. Dies ist beispielsweise der Fall, wenn er die Aussagen der Beschwerdegegnerin 2 über mehrere Seiten hinweg auszugsweise wiedergibt, darlegt, weshalb seine Aussagen nicht widersprüchlich seien, behauptet, der Zeitstrahl gehe nicht auf, oder geltend macht, die DNA unter den Fingernägeln der Beschwerdegegnerin 2 könne nicht vom Täter stammen. Auf seine unzulässige appellatorische Kritik ist nicht einzutreten.</w:t>
      </w:r>
    </w:p>
    <w:p>
      <w:r>
        <w:rPr>
          <w:b/>
        </w:rPr>
        <w:t>E. 1.4.2</w:t>
      </w:r>
    </w:p>
    <w:p>
      <w:r>
        <w:t>Im Übrigen ist zu konstatieren, dass sich der Beschwerdeführer bzw. sein Rechtsvertreter mit keinem Wort zu der vorinstanzlichen Würdigung der Aussagen der Beschwerdegegnerin 2 äussert und nicht in einer den qualifizierten Begründungsanforderungen an die Willkürrüge genügenden Weise darlegt, dass die Einschätzung der Vorinstanz, wonach die Aussagen der Beschwerdegegnerin 2 glaubhaft seien, willkürlich ist. Soweit ersichtlich, versucht der Beschwerdeführer mit seinen Einwänden aufzuzeigen, dass auch seine Version der Ereignisse, wonach es auf einer Sitzbank im Dorfzentrum zu einvernehmlichen sexuellen Handlungen mit der Beschwerdegegnerin 2 gekommen sei, möglich sei. Dabei setzt er sich jedoch nur rudimentär mit der detaillierten vorinstanzlichen Begründung auseinander. Er beschränkt sich grösstenteils darauf, wie in einem appellatorischen Verfahren seine Sicht der Dinge zu schildern. Die Vorinstanz würdigt die Aussagen des Beschwerdeführers ausführlich und zeigt zahlreiche Widersprüche darin auf. Ferner zählt sie mehrere Gründe dafür auf, weshalb sich die Geschehnisse nicht so abgespielt haben können, wie sie der Beschwerdeführer schildert. Darauf geht der Beschwerdeführer nur punktuell ein.</w:t>
      </w:r>
    </w:p>
    <w:p>
      <w:r>
        <w:rPr>
          <w:b/>
        </w:rPr>
        <w:t>E. 1.4.3</w:t>
      </w:r>
    </w:p>
    <w:p>
      <w:r>
        <w:t>Um Willkür in der detaillierten vorinstanzlichen Würdigung aufzuzeigen, genügt es beispielsweise nicht, wenn der Beschwerdeführer hinsichtlich des zeitlichen Ablaufs sein bereits vor der Vorinstanz Vorgetragenes wiederholt und der Vorinstanz Willkür sowie eine Verletzung seines Anspruchs auf rechtliches Gehör vorwirft, ohne vertieft auf die vorinstanzliche Begründung einzugehen. Diese erwägt hierzu, beim Aussageverhalten des Beschwerdeführers falle auf, dass er während der Untersuchung die Dauer des angeblichen Vorfalls bei der Sitzbank an die gemäss Akten gesicherten Zeiten "angepasst", konkret verkürzt habe, damit der Vorfall in das äusserst enge Zeitfenster hineinpasse. Gestützt auf die Aussage von E.________ sei erstellt, dass die Beschwerdegegnerin 2 ihren Arbeitsort um ca. 05.00 Uhr verlassen habe und um 05.14 Uhr bei der F.________ Tankstelle gewesen sei. Gemäss Google Maps benötige man für die insgesamt</w:t>
      </w:r>
    </w:p>
    <w:p>
      <w:r>
        <w:t>500 Meter sieben Minuten. Weiter seien vorliegend folgende Faktoren zu berücksichtigen: 1. Die Beschwerdegegnerin 2 habe bezüglich des Verlassens des Restaurants C.________ von einer Zirka-Zeit gesprochen, so dass es durchaus zwei bis vier Minuten später gewesen sein könnte. 2. Die Beschwerdegegnerin 2 habe ausgesagt, sie habe bei der Kirche ein paar Worte mit dem ihr bekannten G.________ gewechselt. 3. Die Beschwerdegegnerin 2 habe angegeben, als sie nach dem Treffen mit G.________ losgelaufen sei, habe sie auf der Kirche gesehen, dass es 05.10 Uhr gewesen sei.</w:t>
      </w:r>
    </w:p>
    <w:p>
      <w:r>
        <w:rPr>
          <w:b/>
        </w:rPr>
        <w:t>E. 1.4.4</w:t>
      </w:r>
    </w:p>
    <w:p>
      <w:r>
        <w:t>In unzulässiger appellatorischer Kritik verliert sich der Beschwerdeführer auch, wenn er behauptet, es sei nach gesundem Menschenverstand nachvollziehbar, wenn beim gegenseitigen "Rummachen" DNA übertragen werde, auch unter den Fingernägeln. Die Vorinstanz erkennt in den Aussagen des Beschwerdeführers gravierende Widersprüche in zentralen Punkten sowie mit verschiedenen Beweismitteln, unter anderem der Tatsache, dass unter dem rechten Fingernagel der Beschwerdegegnerin 2 DNA-Spuren des Beschwerdeführers gefunden wurden. Die Vorinstanz erwägt, der Beschwerdeführer habe ausdrücklich und konstant gleichbleibend ausgesagt, die Beschwerdegegnerin 2 habe ihn beim von ihm geschilderten Vorfall auf der Sitzbank im Zentrum nirgends angefasst und auch nicht gekratzt; sie habe ihn einzig in den linken Arm gebissen. Spuren von sich unter ihrem Fingernagel habe sich der Beschwerdeführer nicht erklären können (Urteil S. 83 f.). Entgegen dem Vorbringen des Beschwerdeführers ist es weder wenig erstaunlich noch nachvollziehbar, dass DNA-Spuren ohne Berührung mit den Händen unter die Fingernägel einer anderen Person gelangen. Demgegenüber ist es nicht willkürlich, wenn die Vorinstanz sinngemäss schliesst, mit der Version des Beschwerdeführers liessen sich seine DNA-Spuren im Fingernagelschmutz der Beschwerdegegnerin 2 nicht erklären, mit deren Version, wonach sie den Täter beim sexuellen Übergriff wiederholt geklemmt habe, hingegen schon. Bei dieser Ausgangslage ist es unter Willkürgesichtspunkten nicht zu beanstanden, wenn die Vorinstanz der Frage, mit wem das bei der Beschwerdegegnerin 2 im Bereich "Mund, Wange rechts" gefundene inkomplette Y-chromosomale DNA-Mischprofil, das nicht mit der DNA des Beschwerdeführers übereinstimmt, kompatibel ist, nicht vertieft nachgeht. Die blosse Behauptung, die zusätzlich gefundene DNA müsse von der Täterschaft stammen, genügt nicht, um Willkür darzutun. Die Begründung der Vorinstanz, wonach es möglich wäre, dass die Beschwerdegegnerin 2 zum Jahreswechsel Wangenküsse mit männlichen Gästen ausgetauscht habe, erscheint jedenfalls nicht offensichtlich unhaltbar. Daran ändert der Einwand des Beschwerdeführers, dass die Beschwerdegegnerin 2 keine Wangenküsse erwähnt habe und das Tragen von Gesichtsmasken im Innern von Räumen zu diesem Zeitpunkt vorgeschrieben gewesen sei, nichts.</w:t>
      </w:r>
    </w:p>
    <w:p>
      <w:r>
        <w:t>Bei dieser Ausgangslage ist es schliesslich nicht zu beanstanden, wenn die Vorinstanz den Antrag des Beschwerdeführers auf Einvernahme eines weiteren Zeugen, der sich in der Tatnacht beim Restaurant aufgehalten haben soll, und auf Abgleich von dessen DNA mit der weiteren DNA-Spur in antizipierter Beweiswürdigung abweist. Aus ihrer Begründung ergib sich, dass sie in Würdigung der bei den Akten liegenden Beweise zum Schluss gelangt, der massgebende Sachverhalt sei hinreichend abgeklärt und die Einvernahme des Zeugen bzw. die Abnahme von dessen DNA vermöchte ihre Überzeugung nicht zu ändern, da es Erklärungen für eine allfällige Übereinstimmung der DNA gäbe (Urteil S. 87). Der Beschwerdeführer vermag mit seinen Vorbringen keine Willkür in der vorinstanzlichen Einschätzung aufzuzeigen. Die Rüge der Verletzung seines Anspruchs auf rechtliches Gehör erweist sich als unbegründet.</w:t>
      </w:r>
    </w:p>
    <w:p>
      <w:r>
        <w:rPr>
          <w:b/>
        </w:rPr>
        <w:t>E. 1.4.5</w:t>
      </w:r>
    </w:p>
    <w:p>
      <w:r>
        <w:t>Nicht zu beanstanden ist schliesslich auch die vorinstanzliche Einschätzung, es sei aus mehreren Gründen abwegig, dass sich eine in der nahen Umgebung wohnhafte, verheiratete Frau und Mutter von vier Kindern, mit einem Fremden auf sexuelle Handlungen, beinhaltend das Herunterlassen der Hose und Hochschieben des Büstenhalters samt Jacke, auf einer Sitzbank im Dorfzentrum einlässt. Zunächst sei es in jener Silvesternacht kalt gewesen. Sodann habe die Beschwerdegegnerin 2 bereits seit Vormittag des Vortags im Restaurant gearbeitet und habe daher in den frühen Morgenstunden des Folgetags sehr müde gewesen sein müssen. Hinzu komme, dass sie in U.________ und Umgebung offensichtlich verschiedene Personen kenne. Ihr Vater wohne in der nahegelegenen V.________, sie habe auch E.________, Gast im Restaurant C.________, gekannt und bei der Kirche G.________, ebenfalls ein Bekannter von ihr, getroffen. Umso abwegiger erscheine es, dass sich die Beschwerdegegnerin 2 unter diesen Umständen auf sexuelle Handlungen auf einer Sitzbank in der Nähe des Restaurants einlassen sollte, in dem sie unmittelbar vorher noch gearbeitet hatte. Dies ohne Sichtschutz, unmittelbar angrenzend an die Hauptstrasse und in einer Silvesternacht, in der überdurchschnittlich viele Menschen bis frühmorgens unterwegs seien. Das Risiko, dass Dritte, mitunter Bekannte und Gäste des Restaurants C.________, von diesem Vorfall etwas mitbekommen hätten, wäre daher sehr gross gewesen (Urteil S. 85 f.). Diese Würdigung ist nicht willkürlich. Gleiches gilt für die vorinstanzliche Einschätzung, dass es sich bei der Version des Beschwerdeführers um eine Schutzbehauptung handelt. Zur Begründung führt sie aus, es wäre ein riesiger Zufall, dass sich die Beschwerdegegnerin 2 freiwillig auf sexuelle Handlungen mit einem Fremden auf einer Sitzbank einlässt, um kurz darauf von einem anderen Mann überfallen und praktisch - auf dieselbe Art und Weise - von ihm sexuell missbraucht zu werden. Zudem habe der Beschwerdeführer mit seiner Version einen Erklärungsnotstand bezüglich seiner unter dem rechten Fingernagel der Beschwerdegegnerin 2 gefundenen DNA. Auch gebe es keine Hinweise auf einen Dritttäter. Der Beschwerdeführer habe demzufolge über Täterwissen verfügen müssen, um seine Version, die behaupteten Geschehnisse auf der Sitzbank, schildern zu können (Urteil S. 85).</w:t>
      </w:r>
    </w:p>
    <w:p>
      <w:r>
        <w:rPr>
          <w:b/>
        </w:rPr>
        <w:t>E. 1.4.6</w:t>
      </w:r>
    </w:p>
    <w:p>
      <w:r>
        <w:t>Schliesslich verkennt der Beschwerdeführer die Bedeutung des Grundsatzes "in dubio pro reo", wenn er argumentiert, dass seine Version statistisch wohl nicht die häufigste, aber möglich sei, weshalb letzte Zweifel bestünden und keine Verurteilung erfolgen dürfe. Gemäss Art. 10 Abs. 3 StPO geht das Gericht von der für die beschuldigte Person günstigeren Sachlage aus, wenn unüberwindliche Zweifel daran bestehen, dass die tatsächlichen Voraussetzungen der angeklagten Tat erfüllt sind (ausführlich E. 1.3.2). Nach dem Ausgeführten würdigt die Vorinstanz die Beweise objektiv und gelangt zur Überzeugung, dass die für den Beschwerdeführer günstigere Version abwegig ist und damit ausgeschlossen werden kann. Mit anderen Worten hegt sie keine unüberwindlichen, schlechterdings nicht zu unterdrückenden Zweifel daran, dass sich die Geschehnisse in der Tatnacht so zugetragen haben, wie sie in der Anklageschrift umschrieben werden.</w:t>
      </w:r>
    </w:p>
    <w:p>
      <w:r>
        <w:rPr>
          <w:b/>
        </w:rPr>
        <w:t>E. 1.4.7</w:t>
      </w:r>
    </w:p>
    <w:p>
      <w:r>
        <w:t>Insgesamt erweist sich die Kritik des Beschwerdeführers an der vorinstanzlichen Beweiswürdigung und Sachverhaltsfeststellung als unbegründet, soweit sie überhaupt den qualifizierten Begründungsanforderungen genügt.</w:t>
      </w:r>
    </w:p>
    <w:p>
      <w:r>
        <w:t>2.</w:t>
      </w:r>
    </w:p>
    <w:p>
      <w:r>
        <w:t>2.1. Der Beschwerdeführer wendet sich gegen die Anordnung der Verwahrung. Er argumentiert, weder bestehe eine hohe Rückfallgefahr noch eine psychische Störung von erheblicher Schwere. Ferner rügt er, die Vorinstanz verletze Art. 64 StGB , wenn sie davon ausgehe, dass eine Massnahme nach Art. 59 keinen Erfolg verspreche.</w:t>
      </w:r>
    </w:p>
    <w:p>
      <w:r>
        <w:t>2.2.</w:t>
      </w:r>
    </w:p>
    <w:p>
      <w:r>
        <w:t>2.2.1. Das Gericht ordnet die Verwahrung an, wenn der Täter eine in Art. 64 Abs. 1 StGB ausdrücklich genannte Katalogtat (Mord, vorsätzliche Tötung, schwere Körperverletzung, Vergewaltigung, Raub, Geiselnahme, Brandstiftung oder Gefährdung des Lebens) oder eine im Sinne der Generalklausel mit Freiheitsstrafe von fünf oder mehr Jahren bedrohte Tat begangen hat, durch die er die physische, psychische oder sexuelle Integrität einer andern Person schwer beeinträchtigt hat oder beeinträchtigen wollte, und aufgrund der Persönlichkeitsmerkmale des Täters, der Tatumstände und seiner gesamten Lebensumstände ernsthaft zu erwarten ist, dass er weitere Taten dieser Art begeht (lit. a) oder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(lit. b).</w:t>
      </w:r>
    </w:p>
    <w:p>
      <w:r>
        <w:t>2.2.2. 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mit Hinweisen; Urteile 6B_523/2024 vom 15. November 2024 E. 1.3.2; 6B_1051/2021 vom 3. März 2022 E. 3.3.3; je mit Hinweisen).</w:t>
      </w:r>
    </w:p>
    <w:p>
      <w:r>
        <w:t>2.2.3. Neben einer Anlasstat und einer hohen Rückfallgefahr setzt die Anordnung der Verwahrung gemäss Art. 64 Abs. 1</w:t>
      </w:r>
    </w:p>
    <w:p>
      <w:r>
        <w:t>lit. b StGB eine 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 BGE 140 IV 1 E. 3.2.4; 137 IV 59 E. 6.3; 134 IV 121 E. 3.4.2, 315 E. 3.4 f.; Urteile 6B_523/2024 vom 15. November 2024 E. 1.3.3; 6B_1093/2021 vom 17. März 2022 E. 2.2; 6B_381/2021 vom 17. Juni 2021 E. 4.5.3; je mit Hinweisen).</w:t>
      </w:r>
    </w:p>
    <w:p>
      <w:r>
        <w:t>2.2.4. 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Verhältnismässigkeitsgrundsatz verlangt, dass die Sicherheitsbelange der Allgemeinheit und der Freiheitsanspruch des Betroffenen als wechselseitiges Korrektiv gesehen und im Einzelfall gegeneinander abgewogen werden ( BGE 142 IV 105 E. 5.4 mit Hinweisen). Im Rahmen der Verhältnismässigkeit ist auch der Dauer des bereits erfolgten Freiheitsentzugs Rechnung zu tragen ( BGE 137 IV 201 E. 1.2). Bei langandauernder Unterbringung gewinnt der Freiheitsanspruch des Eingewiesenen zunehmend an Gewicht. Erreicht die Gefährlichkeit allerdings einen Grad, der im Falle einer Unbehandelbarkeit eine Verwahrung rechtfertigen könnte, ist das Kriterium der Dauer des Freiheitsentzugs von beschränkter Tragweite. Gleichwohl hebt das Bundesgericht gegebenenfalls auch eine Verwahrung auf, wenn sie sich nicht als verhältnismässig erweist (Urteile 6B_523/2024 vom 15. November 2024 E. 1.3.4; 6B_1500/2022 vom 9. Februar 2023 E. 3.4.3; 6B_1294/2021 vom 10. Januar 2022 E. 1.3.2; je mit Hinweisen).</w:t>
      </w:r>
    </w:p>
    <w:p>
      <w:r>
        <w:t>2.2.5. 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w:t>
      </w:r>
    </w:p>
    <w:p>
      <w:r>
        <w:t>142 IV 49 E. 2.1.3; 141 IV 369 E. 6.1; je mit Hinweisen). Erscheint dem Gericht die Schlüssigkeit eines Gutachtens in wesentlichen Punkten zweifelhaft, hat es nötigenfalls ergänzende Beweise zur Klärung dieser Zweifel zu erheben ( BGE 150 IV 1 E. 2.3.3; 142 IV 49 E. 2.1.3; 141 IV 369 E. 6.1). Ob das Gericht die in einem Gutachten enthaltenen Erörterungen für überzeugend halten und dementsprechend den Schlussfolgerungen der Experten folgen durfte, ist eine Frage der Beweiswürdigung, die das Bundesgericht nur unter dem Aspekt der Willkür prüft (vgl. BGE 141 IV 369 E. 6.1; Urteile 6B_298/2025 vom 4. Juni 2025 E. 2.2.2; 6B_523/2024 vom 15. November 2024 E. 1.3.7; 6B_919/2023 vom 10. Juli 2024 E. 3.3.3; je mit Hinweisen).</w:t>
      </w:r>
    </w:p>
    <w:p>
      <w:r>
        <w:t>2.2.6.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Urteil 6B_173/2024 vom 8. September 2025 E. 2.3;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w:t>
      </w:r>
    </w:p>
    <w:p>
      <w:r>
        <w:t>( BGE 141 IV 244 E. 1.2.1; Urteil 6B_173/2024 vom 8. September 2025 E. 2.3; je mit Hinweisen).</w:t>
      </w:r>
    </w:p>
    <w:p>
      <w:r>
        <w:t>2.3.</w:t>
      </w:r>
    </w:p>
    <w:p>
      <w:r>
        <w:t>2.3.1. Die Vorinstanz erwägt zusammengefasst, das im Recht liegende Gutachten von Dr. med. H.________ vom 7. März 2022 samt Vorab-Gutachten vom 7. Februar 2022, ergänzt durch die Aussagen des Sachverständigen anlässlich der erstinstanzlichen Verhandlung, sei vollständig sowie nachvollziehbar und enthalte keine Widersprüche. Darauf könne abgestellt werden. In der Folge prüft die Vorinstanz, ob die Voraussetzungen für die Anordnung einer stationären therapeutischen Behandlung von psychischen Störungen erfüllt sei. Sie erwägt, aus dem Gutachten ergebe sich, dass beim Beschwerdeführer eine dissoziale Persönlichkeitsstörung vorliege, die mit "sadistischen Zügen" erweitert werden könnte. In Berücksichtigung der gutachterlichen Ausführungen und der Tatumstände, könne der für eine Massnahme erforderliche Schweregrad der psychischen Störung bejaht werden. Die qualifizierte sexuelle Nötigung hänge mit der psychischen Störung zusammen und die Rückfallgefahr für (gewaltsame) Sexualdelikte sei eher hoch, jene für reine Gewaltdelikte eher mittelhoch. Da jedoch beim Beschwerdeführer nicht die geringste Therapiewilligkeit erkennbar sei und damit auch nicht die kleinste Chance bestehe, eine solche im Rahmen einer stationären Behandlung herbeiführen zu können, komme die Anordnung einer stationären therapeutischen Behandlung im Sinne von Art. 59 StGB nicht in Frage. Demgegenüber gelangt die Vorinstanz zum Schluss, dass die Verwahrung des Beschwerdeführers anzuordnen sei. Zur Begründung führt sie aus, mit der qualifizierten sexuellen Nötigung habe der Beschwerdeführer die physische, psychische und sexuelle Integrität der Beschwerdegegnerin 2 schwer beeinträchtigt, womit eine Anlasstat im Sinne von Art. 64 Abs. 1 StGB vorliege. Gemäss Gutachten sei die Rückfallgefahr für ein vergleichbares gewaltsames Sexualdelikt eher hoch. Das Anlassdelikt und der kriminalistische Werdegang des Beschwerdeführers zeigten eindrücklich, dass die Wahrscheinlichkeit hoch sei, dass er ohne Verwahrung weitere Straftaten ähnlicher Art begehen könnte. Die Gefährlichkeit des Beschwerdeführers könne aus der bei ihm - bereits 2001 - diagnostizierten psychischen Störung in Form einer dissozialen Persönlichkeitsstörung abgeleitet werden. Der Gutachter habe dazu ausgeführt, dass die vorliegende Straftat und das Tatvorgehen Ausdruck der Persönlichkeitsstruktur des Beschwerdeführers seien. Zum einen gelte dies für die Triebveranlagung mit den paraphilen Neigungen, die dominante Praktiken einschliessen würden, zum anderen gelte dies auch für einen persönlichkeitsstrukturellen Überbau, der aufgrund der moralisch-ethischen Defizite solche Verhaltensweisen relativ bereitwillig zuliesse. Der Gutachter sei zum Schluss gekommen, dass vorliegend Persönlichkeitsmerkmale das entscheidende Momentum bilden würden. Zwischen der dissozial geprägten Persönlichkeitsstruktur und der vorliegenden Straftat müsse ein relativ stringenter tatpsychologischer Kausalzusammenhang postuliert werden. Hingegen habe der Gutachter bezüglich der gesamten Lebensumstände ausgeführt, dass diese eher den Lebensstil, die Lebensauffassung und die sozialen Bezüge des Beschwerdeführers illustrieren würden, als dass man sie als echte Kausalfaktoren ansehen könnte. Die Vorinstanz folgert daraus, dass die Lebensumstände des Beschwerdeführers eher nicht kausal für die Begehung von Straftaten seien, sondern seine Persönlichkeitsstruktur. Sie geht in der Folge auf frühere Gutachten sowie Beurteilungen ein und hält fest, wenn man die aktuelle Diagnose des Gutachters mit früheren Begutachtungen, Vorstrafen, Aufenthalten in Institutionen etc. erweitere und sich die Umstände der vorliegenden Anlasstat vor Augen halte, könne an der Gefährlichkeit des an einer dissozialen Persönlichkeitsstörung leidenden Beschwerdeführers nicht gezweifelt werden. Die Vorinstanz erwägt weiter, da die Therapiewilligkeit des Beschwerdeführers komplett fehle und nach Ansicht des Gutachters im Rahmen einer Therapie nicht hergestellt werden könne, könne mit einer Massnahme im Sinne von Art. 59 StGB keine Verminderung des Rückfallrisikos erzielt werden. Insgesamt seien die Voraussetzungen für eine Verwahrung nach Art. 64 StGB erfüllt. Anzumerken sei, dass die Verwahrung mit Blick auf die vom Beschwerdeführer für die öffentliche Sicherheit ausgehende Gefahr als verhältnismässig erscheine (Urteil S. 115 ff.).</w:t>
      </w:r>
    </w:p>
    <w:p>
      <w:r>
        <w:t>2.3.2. Aus der Begründung der Vorinstanz ergibt sich nicht zweifelsfrei, ob die Vorinstanz die Verwahrung gestützt auf lit. a oder lit. b von Art. 64 Abs. 1 StGB anordnet. Die Verwahrung gemäss lit. b setzt unter anderem voraus, dass beim Täter eine anhaltende oder langdauernde psychische Störung von erheblicher Schwere vorliegt und die Anordnung einer Massnahme nach Art. 59 StGB keinen Erfolg verspricht. Gestützt auf lit. a kann eine Verwahrung auch angeordnet werden, wenn zwar keine anhaltende oder langdauernde psychische Störung von erheblicher Schwere vorliegt, jedoch auf Grund der Persönlichkeitsmerkmale des Täters, der Tatumstände und seiner gesamten Lebensumstände ernsthaft zu erwarten ist, dass er weitere Taten dieser Art begeht. Denkbar sind auch Fälle, in denen zwar eine psychische Störung vorliegt, diese jedoch nicht von erheblicher Schwere ist, und sich die Rückfallgefahr zudem aus den in lit. a genannten Umständen ergibt (vgl. für einen solchen Fall Urteil 6B_1294/2021 vom 10. Januar 2022, insbesondere E. 1.7). Zwar wäre möglich, dass es sich vorliegend um einen solchen Fall handelt. Jedoch ergibt sich dies aus der Begründung der Vorinstanz nicht schlüssig. Diese prüft zunächst, ob die Voraussetzungen für eine stationäre therapeutische Massnahme gemäss Art. 59 StGB erfüllt sind. Dabei bejaht sie unter anderem das Vorliegen einer schweren psychischen Störung. Hingehen verneint sie die Behandelbarkeit des Beschwerdeführers, weshalb sie in der Folge prüft, ob die Voraussetzungen für die Verwahrung vorliegen. Dabei nennt sie einmal Art. 64 Abs. 1 lit. a StGB und auch die Ausführungen zum "besonderen Zustand" deuten darauf hin, dass sie von einer Verwahrung gestützt auf lit. a ausgeht. Jedoch steht dies in einem gewissen Widerspruch dazu, dass sie hinsichtlich Art. 59 StGB das Vorliegen einer schweren psychischen Störung bejaht. Bei dieser Ausgangslage ist zumindest zu erwarten, dass sie erläutert, weshalb die Störung nicht erheblich im Sinne von Art. 64 Abs. 1 lit. b StGB sein soll. Schliesslich prüft die Vorinstanz die Frage der Unbehandelbarkeit, die sich eigentlich nur bei einer Verwahrung nach Art. 64 Abs. 1 lit. b StGB stellt. Dass die vorinstanzliche Begründung zumindest interpretationsbedürftig bzw. widersprüchlich ist, ergibt sich auch aus den Ausführungen des Beschwerdeführers. Angesichts dessen Rüge, es liege keine anhaltende oder langdauernde psychische Störung von erheblicher Schwere und keine Unbehandelbarkeit vor, scheint er davon auszugehen, dass die Vorinstanz die Anordnung der Verwahrung auf Art. 64 Abs. 1 lit. b StGB stützt. In Berücksichtigung der weitreichenden Konsequenzen, die eine Verwahrung mit sich bringt, kann es nicht angehen, dass der Beschwerdeführer und das Bundesgericht die vorinstanzliche Begründung interpretieren müssen. Vielmehr sollte daraus zweifelsfrei hervorgehen, auf welche Rechtsgrundlage die Vorinstanz die Anordnung der Verwahrung stützt. Dabei sind allfällige Eventual- oder Alternativbegründungen als solche zu kennzeichnen. Insgesamt geht aus der vorinstanzlichen Begründung nicht schlüssig hervor, ob die Vorinstanz das Vorliegen der qualifizierten Gefährlichkeit auf Grund der Persönlichkeitsmerkmale des Beschwerdeführers, der Tatumstände und seiner gesamten Lebensumstände oder auf Grund einer anhaltenden oder langandauernden psychischen Störung von erheblicher Schwere bejaht, mithin ob sie die Anordnungsvoraussetzungen von lit. a oder b von Art. 64 Abs. 1 StGB als erfüllt erachtet.</w:t>
      </w:r>
    </w:p>
    <w:p>
      <w:r>
        <w:t>Als ungenügend bzw. widersprüchlich erweist sich die vorinstanzliche Begründung auch hinsichtlich der für die Anordnung der Verwahrung erforderlichen qualifizierten Gefährlichkeit. Die Vorinstanz führt bei der Prüfung der stationären therapeutischen Behandlung gemäss Art. 59 StGB aus, die Rückfallgefahr für (gewaltsame) Sexualdelikte sei beim Beschwerdeführer eher hoch und für reine Gewaltdelikte eher mittelhoch (Urteil S. 123). Demgegenüber hält sie hinsichtlich der Verwahrung fest, die Wahrscheinlichkeit, dass der Beschwerdeführer ohne Verwahrung weitere Straftaten ähnlicher Art begehen könnte, sei hoch (Urteil S. 137). Folglich wird die Vorinstanz auch die Frage, ob beim Beschwerdeführer von einer qualifizierten Gefährlichkeit auszugehen ist, neu prüfen und begründen müssen.</w:t>
      </w:r>
    </w:p>
    <w:p>
      <w:r>
        <w:t>Für den Fall, dass die Vorinstanz das Vorliegen einer anhaltenden oder langdauernden psychischen Störung von erheblicher Schwere in ihrem neuen Urteil bejahen sollte, ist ergänzend darauf hinzuweisen, dass ihre Begründung auch im Hinblick auf die Behandelbarkeit lückenhaft ist und einer Nachbesserung bedarf, da sie sich nicht mit der Frage auseinandersetzt, ob beim Beschwerdeführer eine minimale Motivierbarkeit für eine therapeutische Behandlung erkennbar ist (vgl. hierzu Urteile 6B_448/2025 vom 21. Juli 2025 E. 3.3.2; 6B_576/2024 vom 11. Dezember 2024 E. 5.3; 6B_766/2022 vom 17. Mai 2023 E. 5.3.4, nicht publ. in: BGE 149 IV 325 ; je mit Hinweisen).</w:t>
      </w:r>
    </w:p>
    <w:p>
      <w:r>
        <w:t>Schliesslich genügt es nicht, wenn die Vorinstanz die Frage der Verhältnismässigkeit der Verwahrung im Sinne einer Anmerkung mit lediglich einem Satz abhandelt. Auch diesen Punkt wird sie ausführlicher begründen müssen.</w:t>
      </w:r>
    </w:p>
    <w:p>
      <w:r>
        <w:t>Insgesamt ist es dem Bundesgericht nicht möglich, das Urteil der Vorinstanz auf dessen Rechtmässigkeit hin zu überprüfen. Die Vorinstanz wird ihr Urteil neu begründen müssen. Sollte sie gestützt auf das forensisch-psychiatrische Gutachten nicht beurteilen können, ob die beim Beschwerdeführer diagnostizierte psychische Störung als schwer im Sinne von Art. 64 Abs. 1 lit. b StGB zu qualifizieren ist, oder ob sich die (qualifizierte) Rückfallgefahr aus den Persönlichkeitsmerkmalen des Beschwerdeführers, den Tatumständen und seinen gesamten Lebensumständen ergibt, wird sie ein neues oder ergänzendes Gutachten einholen müssen. Gleiches gilt hinsichtlich der Gefährlichkeit und der Behandelbarkeit.</w:t>
      </w:r>
    </w:p>
    <w:p>
      <w:r>
        <w:t>3.</w:t>
      </w:r>
    </w:p>
    <w:p>
      <w:r>
        <w:t>Die Anträge betreffend Haftentschädigung und Aushändigung der beschlagnahmten Vermögenswerte begründet der Beschwerdeführer nicht bzw. mit dem beantragten Freispruch. Darauf ist nicht weiter einzugehen.</w:t>
      </w:r>
    </w:p>
    <w:p>
      <w:r>
        <w:rPr>
          <w:b/>
        </w:rPr>
        <w:t>E. 4</w:t>
      </w:r>
    </w:p>
    <w:p>
      <w:r>
        <w:t>Die Beschwerde ist teilweise gutzuheissen, Dispositiv-Ziff. 6, 12 und 13 des vorinstanzlichen Urteils sind in Anwendung von Art. 112 Abs. 3 BGG aufzuheben und die Sache wird an die Vorinstanz zurückgewiesen, damit diese einen Entscheid trifft, der den Anforderungen von Art. 112 Abs. 1 BGG genügt. Im Übrigen ist die Beschwerde abzuweisen, soweit darauf eingetreten werden kann.</w:t>
      </w:r>
    </w:p>
    <w:p>
      <w:r>
        <w:t>Die Rückweisung an die Vorinstanz erfolgt prozessualiter mangels hinreichender Begründung des angefochtenen Entscheids im Sinne von Art. 112 Abs. 1 lit. b i.V.m. Abs. 3 BGG. Die Sache wird damit nicht präjudiziert, sodass auf eine Einladung zu Vernehmlassungen verzichtet werden kann (vgl. Urteil 6B_460/2024 vom 13. September 2024 E. 4.3 mit Hinweisen, nicht publ. in: BGE 151 IV 37 ).</w:t>
      </w:r>
    </w:p>
    <w:p>
      <w:r>
        <w:t>Die Gerichtskosten werden in der Regel der unterliegenden Partei auferlegt ( Art. 66 Abs. 1 BGG ). Bei Rückweisung nach Art. 112 Abs. 3 BGG werden die Kosten formell nicht nach dem Ausgang des Verfahrens, sondern nach dem Verursacherprinzip verlegt (vgl. Urteil 6B_340/2024 vom 26. September 2025 E. 2 mit Hinweis). Der Kanton Appenzell Ausserrhoden trägt keine Gerichtskosten ( Art. 66 Abs. 4 BGG ). Jedoch hat er den Beschwerdeführer im Umfang der Rückweisung angemessen zu entschädigen. Die Entschädigung wird praxisgemäss seinem Rechtsvertreter ausgerichtet. Im Umfang seines Unterliegens sind dem Beschwerdeführer anteilsmässig Gerichtskosten aufzuerlegen. Insoweit sein Gesuch um unentgeltliche Rechtspflege und Verbeiständung nicht gegenstandslos geworden ist, wird es wegen Aussichtslosigkeit abgewiesen ( Art. 64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