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6B_755/2013 vom 24. Februar 2014</w:t>
      </w:r>
    </w:p>
    <w:p>
      <w:r>
        <w:t>Bundesgericht, 2014-02-24, DE</w:t>
      </w:r>
    </w:p>
    <w:p>
      <w:r>
        <w:rPr>
          <w:b/>
        </w:rPr>
        <w:t xml:space="preserve">Quelle: </w:t>
      </w:r>
      <w:r>
        <w:t>https://mcp.opencaselaw.ch/entscheid/bger_6B_755_2013</w:t>
      </w:r>
    </w:p>
    <w:p>
      <w:r>
        <w:t>FR: TF 6B_755/2013 du 24 février 2014</w:t>
      </w:r>
    </w:p>
    <w:p>
      <w:r>
        <w:t>IT: TF 6B_755/2013 del 24 febbraio 2014</w:t>
      </w:r>
    </w:p>
    <w:p>
      <w:pPr>
        <w:pStyle w:val="Heading2"/>
      </w:pPr>
      <w:r>
        <w:t>Erwägungen</w:t>
      </w:r>
    </w:p>
    <w:p>
      <w:r>
        <w:rPr>
          <w:b/>
        </w:rPr>
        <w:t>E. 1</w:t>
      </w:r>
    </w:p>
    <w:p>
      <w:r>
        <w:t>Der Beschwerdeführer äussert sich nicht zur Beschwerdebefugnis.</w:t>
      </w:r>
    </w:p>
    <w:p>
      <w:r>
        <w:rPr>
          <w:b/>
        </w:rPr>
        <w:t>E. 1.1</w:t>
      </w:r>
    </w:p>
    <w:p>
      <w:r>
        <w:t>Der Strafantragsteller ist zur Beschwerde in Strafsachen berechtigt, soweit es um das Strafantragsrecht als solches geht (Art. 81 Abs. 1 lit. b Ziff. 6 BGG). Die Beschwerde betrifft diese Frage nicht, weshalb die Legitimation unter diesem Titel nicht gegeben ist (vgl. Urteil 6B_413/2013 vom 3. Juni 2013 E. 3).</w:t>
      </w:r>
    </w:p>
    <w:p>
      <w:r>
        <w:rPr>
          <w:b/>
        </w:rPr>
        <w:t>E. 1.2</w:t>
      </w:r>
    </w:p>
    <w:p>
      <w:r>
        <w:t>Beschwerdeberechtigt ist der Privatkläger, wenn der angefochtene Entscheid sich auf die Beurteilung seiner Zivilansprüche auswirken kann (Art. 81 Abs. 1 lit. b Ziff. 5 BGG).</w:t>
      </w:r>
    </w:p>
    <w:p>
      <w:r>
        <w:t>Die Beschwerdeberechtigung beurteilt sich auch bei Ehrverletzungen nach Art. 81 Abs. 1 lit. b Ziff. 5 BGG (ausführlich Urteil 6B_94/2013 vom 3. Oktober 2013 E. 1.1). Bei Einstellungen oder Nichtanhandnahmen ist die adhäsionsweise Geltendmachung von Zivilforderungen kein Erfordernis der Beschwerdeberechtigung. Es reicht, wenn der Geschädigte im Verfahren vor Bundesgericht darlegt, aus welchen Gründen sich der angefochtene Entscheid inwiefern auf welche Zivilforderungen auswirken kann ( BGE 137 IV 246 E. 1.3.1 S. 248; Urteil 6B_1001/2013 vom 16. Januar 2014 E. 1). Dies unterlässt der Beschwerdeführer, weshalb auch unter diesem Titel auf die Beschwerde nicht einzutreten ist. Es kann daher offen bleiben, inwiefern der Beschwerdeführer gegenüber dem in dienstlicher Funktion handelnden Gemeindeschreiber bzw. der Abteilungsleitungs-Konferenz überhaupt Zivilansprüche geltend machen kann (vgl. Urteile 6B_1136/2013 vom 23. Januar 2014 E. 1 und 6B_505/2013 vom 3. Juni 2013 E. 3).</w:t>
      </w:r>
    </w:p>
    <w:p>
      <w:r>
        <w:rPr>
          <w:b/>
        </w:rPr>
        <w:t>E. 1.3</w:t>
      </w:r>
    </w:p>
    <w:p>
      <w:r>
        <w:t>Unbekümmert um die fehlende Legitimation in der Sache kann die Privatklägerschaft die Verletzung von Verfahrensrechten geltend machen, deren Missachtung eine formelle Rechtsverweigerung darstellt. Zulässig sind Rügen formeller Natur, die von der Prüfung der Sache getrennt werden können ( BGE 138 IV 248 E. 2). Unzulässig sind Rügen, deren Beurteilung von der Prüfung in der Sache nicht getrennt werden kann und die im Ergebnis auf eine materielle Überprüfung des angefochtenen Entscheids abzielen.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("Star-Praxis"; BGE 135 II 430 E. 3.2 S. 437; Urteil 6B_923/2013 vom 29. Januar 2014 E. 3).</w:t>
      </w:r>
    </w:p>
    <w:p>
      <w:r>
        <w:t>Die Vorbringen des Beschwerdeführers betreffen die Sache selbst, weshalb darauf nicht einzutreten ist.</w:t>
      </w:r>
    </w:p>
    <w:p>
      <w:r>
        <w:rPr>
          <w:b/>
        </w:rPr>
        <w:t>E. 2</w:t>
      </w:r>
    </w:p>
    <w:p>
      <w:r>
        <w:t>Auf die Beschwerde ist nicht einzutreten.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