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6B_753/2016 vom 24. März 2017</w:t>
      </w:r>
    </w:p>
    <w:p>
      <w:r>
        <w:t>Bundesgericht, 2017-03-24, FR</w:t>
      </w:r>
    </w:p>
    <w:p>
      <w:r>
        <w:rPr>
          <w:b/>
        </w:rPr>
        <w:t xml:space="preserve">Quelle: </w:t>
      </w:r>
      <w:r>
        <w:t>https://mcp.opencaselaw.ch/entscheid/bger_6B_753_2016</w:t>
      </w:r>
    </w:p>
    <w:p>
      <w:r>
        <w:t>FR: TF 6B_753/2016 du 24 mars 2017</w:t>
      </w:r>
    </w:p>
    <w:p>
      <w:r>
        <w:t>IT: TF 6B_753/2016 del 24 marzo 2017</w:t>
      </w:r>
    </w:p>
    <w:p>
      <w:pPr>
        <w:pStyle w:val="Heading2"/>
      </w:pPr>
      <w:r>
        <w:t>Erwägungen</w:t>
      </w:r>
    </w:p>
    <w:p>
      <w:r>
        <w:rPr>
          <w:b/>
        </w:rPr>
        <w:t>E. 1</w:t>
      </w:r>
    </w:p>
    <w:p>
      <w:r>
        <w:t>Le recourant soutient que l'autorité précédente aurait violé le principe de l'interdiction de l'arbitraire ( art. 9 Cst. ) en lien avec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Il n'entre ainsi pas en matière sur les critiques de nature appellatoire ( ATF 141 IV 249 consid. 1.3.1 p. 253). Lorsque, comme en l'espèce, l'appréciation des preuves et la constatation des faits sont critiquées en référence à la présomption d'innocence ( art. 6 par. 2 CEDH , 32 al. 1 Cst. et 10 CPP), celle-ci n'a pas de portée plus large que l'interdiction de l'arbitraire (cf. ATF 138 V 74 consid. 7 p. 82).</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 368 et les références citées).</w:t>
      </w:r>
    </w:p>
    <w:p>
      <w:r>
        <w:rPr>
          <w:b/>
        </w:rPr>
        <w:t>E. 1.2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6B_146/2016 du 22 août 2016 consid. 4.1; 6B_256/2016 du 20 juin 2016 consid. 1.1).</w:t>
      </w:r>
    </w:p>
    <w:p>
      <w:r>
        <w:rPr>
          <w:b/>
        </w:rPr>
        <w:t>E. 1.3</w:t>
      </w:r>
    </w:p>
    <w:p>
      <w:r>
        <w:t>Le recourant se contente de présenter une argumentation purement appellatoire en indiquant que la cour cantonale l'aurait considéré, durant toute la procédure, coupable de l'infraction de dommages à la propriété commis sur un scooter, en dépit de son acquittement prononcé le 4 novembre 2013, ce qui aurait eu pour effet de discréditer sa version des faits. Pour le reste, il n'indique pas en quoi les faits retenus par l'autorité précédente, et notamment la force probante donnée à la version des gendarmes, seraient arbitraires. Le seul fait de fonder sa décision sur les déclarations et les rapports des gendarmes ayant procédé à l'interpellation du recourant ne viole pas la présomption d'innocence, dans la mesure où la cour cantonale a indiqué de manière précise les faits étayant la fausseté des allégations du recourant et ceux corroborant la version des gendarmes. Ces éléments lui permettaient de retenir, sans violer le droit fédéral, le récit de ces derniers. Le grief du recourant doit en conséquence être rejeté dans la mesure de sa recevabilité.</w:t>
      </w:r>
    </w:p>
    <w:p>
      <w:r>
        <w:rPr>
          <w:b/>
        </w:rPr>
        <w:t>E. 2</w:t>
      </w:r>
    </w:p>
    <w:p>
      <w:r>
        <w:t>Le recourant conteste sa condamnation pour dénonciation calomnieuse.</w:t>
      </w:r>
    </w:p>
    <w:p>
      <w:r>
        <w:rPr>
          <w:b/>
        </w:rPr>
        <w:t>E. 2.1</w:t>
      </w:r>
    </w:p>
    <w:p>
      <w:r>
        <w:t>L' art. 303 ch. 1 al. 1 CP prévoit que celui qui aura dénoncé à l'autorité, comme auteur d'un crime ou d'un délit, une personne qu'il savait innocente, en vue de faire ouvrir contre elle une poursuite pénale, sera puni d'une peine privative de liberté ou d'une peine pécuniaire.</w:t>
      </w:r>
    </w:p>
    <w:p>
      <w:r>
        <w:rPr>
          <w:b/>
        </w:rPr>
        <w:t>E. 2.1.1</w:t>
      </w:r>
    </w:p>
    <w:p>
      <w:r>
        <w:t>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 art. 54 CP ), cela n'empêche pas le juge appelé à statuer sur l'infraction de dénonciation calomnieuse, de statuer à nouveau sur la culpabilité de la personne dénoncée ( ATF 136 IV 170 consid. 2.1 et les références citées).</w:t>
      </w:r>
    </w:p>
    <w:p>
      <w:r>
        <w:rPr>
          <w:b/>
        </w:rPr>
        <w:t>E. 2.1.2</w:t>
      </w:r>
    </w:p>
    <w:p>
      <w:r>
        <w:t>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 ATF 136 IV 170 consid. 2.1 et les références citées).</w:t>
      </w:r>
    </w:p>
    <w:p>
      <w:r>
        <w:t>Déterminer ce qu'une personne a su, envisagé, voulu ou accepté relève de l'établissement des faits ( ATF 138 V 74 consid. 8.4.1 p. 84; 137 IV 1 consid. 4.2.3 p. 4), qui lient le Tribunal fédéral ( art. 105 al. 1 LTF ), à moins que ceux-ci n'aient été établis arbitrairement (cf. supra consid. 1.1). Est en revanche une question de droit celle de savoir si l'autorité cantonale s'est fondée sur une juste conception de la notion d'intention et si elle l'a correctement appliquée au vu des éléments retenus (cf. ATF 135 IV 152 consid. 2.3.2 p. 156 et la référence citée).</w:t>
      </w:r>
    </w:p>
    <w:p>
      <w:r>
        <w:rPr>
          <w:b/>
        </w:rPr>
        <w:t>E. 2.2</w:t>
      </w:r>
    </w:p>
    <w:p>
      <w:r>
        <w:t>En l'espèce, le recourant conteste les faits constatés par la cour cantonale concernant les circonstances et les motifs de son interpellation ainsi que la soustraction de sa carte d'identité par les gendarmes.</w:t>
      </w:r>
    </w:p>
    <w:p>
      <w:r>
        <w:t>Par ordonnance de classement partiel du 23 janvier 2014, confirmée sur recours par la Chambre pénale de recours, le procureur général a constaté que les deux agents n'avaient ni abusé de leur autorité ni soustrait la carte d'identité du recourant. En l'absence de faits nouveaux allégués par le recourant, cette décision, devenue définitive, liait la cour cantonale.</w:t>
      </w:r>
    </w:p>
    <w:p>
      <w:r>
        <w:t>Dès lors, l'argumentation du recourant, dans la mesure où il tente de faire admettre que les gendarmes auraient procédé à une interpellation illicite et à une soustraction de sa carte d'identité n'est pas recevable, car il ne saurait remettre en question les faits retenus par l'ordonnance de classement précitée.</w:t>
      </w:r>
    </w:p>
    <w:p>
      <w:r>
        <w:rPr>
          <w:b/>
        </w:rPr>
        <w:t>E. 2.3</w:t>
      </w:r>
    </w:p>
    <w:p>
      <w:r>
        <w:t>Le recourant prétend enfin qu'il ne connaissait pas la fausseté de sa dénonciation à l'égard des gendarmes lorsqu'il a porté plainte, contrairement à ce que retient la cour cantonale. Il affirme avoir remis sa carte d'identité au gendarme A.________ et relève qu'il a toujours prétendu qu'il n'avait pas commis les dommages à la propriété qui lui étaient reprochés. Sur la base de ces éléments, il avait la conviction que les agents avaient commis les actes qu'il leur imputait et qu'en conséquence, il n'y avait, de sa part, aucune intention de dénoncer une personne qu'il savait innocente. Là encore, le recourant conteste les faits retenus par la cour cantonale, sans préciser en quoi leur constatation serait arbitraire, respectivement établie en violation du droit ou de manière manifestement inexacte. Il se borne à opposer sa propre version des faits à celle de la juridiction cantonale. L'argumentation du recourant s'avère donc purement appellatoire et partant irrecevable.</w:t>
      </w:r>
    </w:p>
    <w:p>
      <w:r>
        <w:rPr>
          <w:b/>
        </w:rPr>
        <w:t>E. 3</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