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6B_751/2019 vom 16. Juli 2019</w:t>
      </w:r>
    </w:p>
    <w:p>
      <w:r>
        <w:t>Bundesgericht, 2019-07-16, FR</w:t>
      </w:r>
    </w:p>
    <w:p>
      <w:r>
        <w:rPr>
          <w:b/>
        </w:rPr>
        <w:t xml:space="preserve">Quelle: </w:t>
      </w:r>
      <w:r>
        <w:t>https://mcp.opencaselaw.ch/entscheid/bger_6B_751_2019</w:t>
      </w:r>
    </w:p>
    <w:p>
      <w:r>
        <w:t>FR: TF 6B_751/2019 du 16 juillet 2019</w:t>
      </w:r>
    </w:p>
    <w:p>
      <w:r>
        <w:t>IT: TF 6B_751/2019 del 16 luglio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2</w:t>
      </w:r>
    </w:p>
    <w:p>
      <w:r>
        <w:t>Conformément à l' art. 47 al. 1 LTF , les délais fixés par la loi, soit en particulier les délais de recours ( art. 100 LTF ), ne sont pas prolongeables. Par conséquent, le recourant ne peut pas prétendre à l'octroi d'un délai supplémentaire pour motiver son recours.</w:t>
      </w:r>
    </w:p>
    <w:p>
      <w:r>
        <w:rPr>
          <w:b/>
        </w:rPr>
        <w:t>E. 3</w:t>
      </w:r>
    </w:p>
    <w:p>
      <w:r>
        <w:t>Selon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Les motifs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le recourant s'est limité à déposer son recours en sollicitant un délai supplémentaire pour le motiver. Comme relevé, une telle prolongation n'entre pas en ligne de compte. Son recours n'en demeure pas moins dépourvu de motivation topique, y compris en ce qui concerne sa qualité pour recourir. Il ne comporte pas non plus de conclusions.</w:t>
      </w:r>
    </w:p>
    <w:p>
      <w:r>
        <w:rPr>
          <w:b/>
        </w:rPr>
        <w:t>E. 4</w:t>
      </w:r>
    </w:p>
    <w:p>
      <w:r>
        <w:t>Au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