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751/2009 vom 4. Dezember 2009</w:t>
      </w:r>
    </w:p>
    <w:p>
      <w:r>
        <w:t>Bundesgericht, 2009-12-04, FR</w:t>
      </w:r>
    </w:p>
    <w:p>
      <w:r>
        <w:rPr>
          <w:b/>
        </w:rPr>
        <w:t xml:space="preserve">Quelle: </w:t>
      </w:r>
      <w:r>
        <w:t>https://mcp.opencaselaw.ch/entscheid/bger_6B_751_2009</w:t>
      </w:r>
    </w:p>
    <w:p>
      <w:r>
        <w:t>FR: TF 6B 751/2009 du 4 décembre 2009</w:t>
      </w:r>
    </w:p>
    <w:p>
      <w:r>
        <w:t>IT: TF 6B 751/2009 del 4 dicembre 2009</w:t>
      </w:r>
    </w:p>
    <w:p>
      <w:pPr>
        <w:pStyle w:val="Heading2"/>
      </w:pPr>
      <w:r>
        <w:t>Regeste</w:t>
      </w:r>
    </w:p>
    <w:p>
      <w:r>
        <w:t>Assassinat; fixation de la peine | Infractions</w:t>
      </w:r>
    </w:p>
    <w:p>
      <w:pPr>
        <w:pStyle w:val="Heading2"/>
      </w:pPr>
      <w:r>
        <w:t>Erwägungen</w:t>
      </w:r>
    </w:p>
    <w:p>
      <w:r>
        <w:rPr>
          <w:b/>
        </w:rPr>
        <w:t>E. 1</w:t>
      </w:r>
    </w:p>
    <w:p>
      <w:r>
        <w:t>La recourante fait valoir que la cour cantonale a retenu de manière arbitraire qu'elle a voulu participer matériellement à l'homicide en suggérant une répartition des rôles et en se réservant une participation active à l'acte.</w:t>
      </w:r>
    </w:p>
    <w:p>
      <w:r>
        <w:rPr>
          <w:b/>
        </w:rPr>
        <w:t>E. 1.1</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On peut renvoyer, sur la notion d'arbitraire, aux principes maintes fois exposés par le Tribunal fédéral (voir p. ex.; ATF 135 V 2 consid. 1.3 p. 4/5; 134 I 140 consid. 5.4 p. 148).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Pour retenir que la recourante avait assumé la volonté de participer matériellement à l'homicide, la cour cantonale s'est fondée sur les dépositions que les deux co-prévenus B.________ et Y.________ ont faites lors des débats de première instance. Le premier a rapporté que la décision d'immoler C.________ pour préserver les intérêts du groupe a été prise en commun. Le second, qui revendique le premier avoir formulé l'intention homicide, a confirmé que la recourante avait voulu la mort de la victime (arrêt p. 6 et 10 qui renvoie au jugement de première instance p. 37). Selon la cour cantonale, les dénégations de la recourante seraient en outre absurdes. En effet, elle avait, autant que ses comparses, intérêt à la disparition de la victime, puisqu'elle avait pris une part active au brigandage (arrêt attaqué, p. 6; jugement de première instance, p. 38). Enfin, il n'y avait pas de césure dans son comportement (arrêt attaqué, p. 6; jugement de première instance, p. 38). En application du principe de la libre appréciation des preuves, le juge peut se forger une intime conviction sur la réalité d'un fait en se fondant sur les déclarations d'un co-prévenu et peut donner à celles-ci plus de crédibilité qu'à la déposition d'un témoin assermenté (PIQUEREZ, Traité de procédure pénale suisse, 2006, 2e éd., n. 744 ad § 100, p. 472). Aussi, la cour cantonale était-elle autorisée à fonder sa conviction sur les dépositions des deux co-prévenus. Pour le surplus, la cour de céans ne voit pas en quoi ces dépositions sont contradictoires et la recourante ne le démontre pas. A la lecture de l'arrêt attaqué et du jugement de première instance, les deux co-accusés ont déclaré que la recourante avait participé à la décision de tuer la victime (jugement p. 37). Si un des co-accusé a fait des déclarations contraires lors des débats de première instance, il appartenait au conseil de la recourante de les faire verbaliser (cf. ATF 126 I 15 consid. 2a/bb p. 18). Dans la mesure où il est recevable, le grief soulevé doit donc être rejeté.</w:t>
      </w:r>
    </w:p>
    <w:p>
      <w:r>
        <w:rPr>
          <w:b/>
        </w:rPr>
        <w:t>E. 2</w:t>
      </w:r>
    </w:p>
    <w:p>
      <w:r>
        <w:t>La recourante conteste sa condamnation pour coactivité au motif que la mise à mort a eu lieu en son absence et qu'elle ne maîtrisait pas le déroulement complet de l'acte.</w:t>
      </w:r>
    </w:p>
    <w:p>
      <w:r>
        <w:rPr>
          <w:b/>
        </w:rPr>
        <w:t>E. 2.1</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135 IV 152 consid. 2.3.1 p. 155; 130 IV 58 consid. 9.2.1; 125 IV 134 consid. 3a; ATF 120 IV 17 consid. 2d p. 23).</w:t>
      </w:r>
    </w:p>
    <w:p>
      <w:r>
        <w:rPr>
          <w:b/>
        </w:rPr>
        <w:t>E. 2.2</w:t>
      </w:r>
    </w:p>
    <w:p>
      <w:r>
        <w:t>Certes, comme le relève la recourante, la volonté de tuer ne permet ainsi pas de fonder une condamnation pour coactivité. La contribution de la recourante va cependant bien au-delà: elle a participé à la prise de décision de tuer la victime (cf. consid. 1.2), a assisté aux premiers coups de couteau mortels et a décidé, d'un commun accord avec ses comparses, de faire disparaître la dépouille. Même si elle n'était pas présente au moment de la mise à mort, sa contribution doit ainsi être qualifiée d'essentielle. La cour cantonale n'a donc pas violé le droit fédéral en la condamnant pour coactivité d'assassinat. Le grief soulevé doit être rejeté.</w:t>
      </w:r>
    </w:p>
    <w:p>
      <w:r>
        <w:rPr>
          <w:b/>
        </w:rPr>
        <w:t>E. 3</w:t>
      </w:r>
    </w:p>
    <w:p>
      <w:r>
        <w:t>La recourante fait valoir une fausse application de l' art. 47 CP .</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La loi a ajouté l'effet de la peine sur l'avenir du condamné. Conformément à la jurisprudence rendue sous l'ancien droit, cet aspect de prévention spéciale ne permet que des corrections marginales, la peine devant toujours rester proportionnée à la faute; le juge ne saurait par exemple renoncer à toute sanction en cas de délits graves (arrêt du Tribunal fédéral 6B_14/2007 du 17 avril 2007, consid. 5.2).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La recourante reproche à la cour cantonale de ne pas avoir tenu compte du fait qu'elle était une jeune mère. La situation familiale ne peut être prise en compte que dans des conditions exceptionnelles, étant entendu que toute peine privative de liberté entraîne des répercussions sur la famille, le conjoint et les enfants (Wiprächtiger, Basler Kommentar, Strafrecht I, 2e éd., 2007, n. 118 ad art. 47; arrêt du Tribunal fédéral 6B_14/2007 du 17 avril 2007). En l'espèce, seule une peine ferme de très longue durée entrait en considération au regard des autres éléments d'appréciation de la culpabilité et des infractions commises (cf. considérant 3.4). Dès lors, une séparation de longue durée d'avec son enfant était inévitable. Une éventuelle réduction, fondée sur ce facteur, ne saurait donc avoir un effet appréciable dans le cadre des relations entre la mère et l'enfant. Dans ces conditions, on ne saurait reprocher à la cour cantonale de ne pas avoir réduit la peine pour ce motif. Le grief soulevé est donc infondé.</w:t>
      </w:r>
    </w:p>
    <w:p>
      <w:r>
        <w:rPr>
          <w:b/>
        </w:rPr>
        <w:t>E. 3.3</w:t>
      </w:r>
    </w:p>
    <w:p>
      <w:r>
        <w:t>La recourante fait en outre grief à la cour cantonale de ne pas avoir tenu compte, à sa décharge, qu'elle n'avait pas porté un seul coup de couteau à la victime, qu'elle n'avait pas la maîtrise du déroulement complet de l'acte et que la victime avait été mise à mort en son absence. Comme vu au considérant 2.2, la recourante s'est associée à la volonté de tuer la victime et a assisté aux premiers coups mortels. Dans ces conditions, elle doit être qualifiée de coauteur et son absence lors de la mise à mort de la victime, qui s'explique par la répartition des rôles entre les comparses, ne justifie aucune réduction de peine. Mal fondé, le grief soulevé doit être rejeté.</w:t>
      </w:r>
    </w:p>
    <w:p>
      <w:r>
        <w:rPr>
          <w:b/>
        </w:rPr>
        <w:t>E. 3.4</w:t>
      </w:r>
    </w:p>
    <w:p>
      <w:r>
        <w:t>La recourante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La recourante s'est rendue coupable d'assassinat ( art. 112 CP ), de brigandage qualifié ( art. 140 ch. 4 CP ) et de violation de la loi fédérale sur les stupéfiants ( art. 19 LStup .), qui entrent en concours ( art. 49 CP ). La violence est ancrée en elle et s'est manifestée depuis son adolescence par la commission d'infractions. Elle a ravi froidement l'existence d'un homme dont elle avait nul motif de se plaindre. Selon les experts, les risques de récidive sont majeurs; il s'agit d'une femme dangereuse. A décharge, on peut tenir compte de son enfance difficile et de sa situation personnelle, de son comportement correct en détention, du fait qu'elle a su prendre soin de son enfant dans le milieu protégé de la prison et de son début de prise de conscience, que traduit sa recherche d'une alliance thérapeutique avec le psychiatre du service de médecine et de psychiatrie pénitentiaires. Au vu de l'ensemble de ces éléments, la faute de la recourante ne peut qu'être qualifiée de très grave; elle justifie une très lourde peine. La peine privative de vingt ans n'apparaît dès lors pas sévère à un point tel qu'il faille conclure à un abus du large pouvoir d'appréciation accordé à la cour cantonale. En ordonnant un placement en institution au sens de l' art. 59 CP , la cour cantonale a au demeurant offert à la recourante l'opportunité de faire en sorte de ne pas subir l'entier de cette peine, puisque l' art. 59 CP peut lui permettre de sortir avant, si elle accepte d'entrer dans le processus thérapeutique.</w:t>
      </w:r>
    </w:p>
    <w:p>
      <w:r>
        <w:rPr>
          <w:b/>
        </w:rPr>
        <w:t>E. 4</w:t>
      </w:r>
    </w:p>
    <w:p>
      <w:r>
        <w:t>Le recours doit ainsi être rejeté dans la mesure où il est recevable. Comme ses conclusions étaient vouées à l'échec, l'assistance judiciaire ne peut être accordée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