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6B_750/2020 vom 9. September 2021</w:t>
      </w:r>
    </w:p>
    <w:p>
      <w:r>
        <w:t>Bundesgericht, 2021-09-09, FR</w:t>
      </w:r>
    </w:p>
    <w:p>
      <w:r>
        <w:rPr>
          <w:b/>
        </w:rPr>
        <w:t xml:space="preserve">Quelle: </w:t>
      </w:r>
      <w:r>
        <w:t>https://mcp.opencaselaw.ch/entscheid/bger_6B_750_2020</w:t>
      </w:r>
    </w:p>
    <w:p>
      <w:r>
        <w:t>FR: TF 6B_750/2020 du 9 septembre 2021</w:t>
      </w:r>
    </w:p>
    <w:p>
      <w:r>
        <w:t>IT: TF 6B_750/2020 del 9 settembre 2021</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w:t>
      </w:r>
    </w:p>
    <w:p>
      <w:r>
        <w:t>La recourante allègue un dommage de l'ordre de plusieurs dizaines de millions de dollars en raison des actes objets de la procédure pénale à Luxembourg. Elle relève que cette procédure, ne vise que des personnes physiques et qu'il est douteux qu'elle lui permette d'obtenir un remboursement des personnes poursuivies. Dans ce contexte, la procédure pénale ouverte en Suisse pour blanchiment sur la base de l' art. 102 CP aurait une influence sur le jugement de ses prétentions en réparation du dommage subi, qui ne pourraient être chiffrées plus précisément qu'une fois établis les montants blanchis.</w:t>
      </w:r>
    </w:p>
    <w:p>
      <w:r>
        <w:rPr>
          <w:b/>
        </w:rPr>
        <w:t>E. 1.2</w:t>
      </w:r>
    </w:p>
    <w:p>
      <w:r>
        <w:t>On peut se demander si ces brèves explications répondent aux exigences rappelées ci-dessus, déduites de l'art. 42 al. 2 en corrélation avec l'art. 81 al. 1 let. b ch. 5 LTF. On ne perçoit pas, en particulier, ce que la recourante entend déduire en sa faveur quant à sa qualité pour recourir en matière pénale de possibles difficultés à obtenir l'exécution d'éventuelles prétentions en réparation du dommage dont elle disposerait envers les personnes physiques poursuivies à Luxembourg. Cette question souffre toutefois de demeurer indécise, le recours devant, en tous les cas, être rejeté sur le fond pour les motifs qui suivent.</w:t>
      </w:r>
    </w:p>
    <w:p>
      <w:r>
        <w:rPr>
          <w:b/>
        </w:rPr>
        <w:t>E. 2</w:t>
      </w:r>
    </w:p>
    <w:p>
      <w:r>
        <w:t>Selon l' art. 319 al. 1 CPP , le ministère public ordonne le classement de tout ou partie de la procédure lorsqu'aucun soupçon justifiant une mise en accusation n'est établi (let. a) ou lorsque les éléments constitutifs d'une infraction ne sont pas réunis (let. b).</w:t>
      </w:r>
    </w:p>
    <w:p>
      <w:r>
        <w:t>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6B_203/2020 du 8 mai 2020 consid. 2.1).</w:t>
      </w:r>
    </w:p>
    <w:p>
      <w:r>
        <w:rPr>
          <w:b/>
        </w:rPr>
        <w:t>E. 3</w:t>
      </w:r>
    </w:p>
    <w:p>
      <w:r>
        <w:t>La recourante reproche en substance à la cour cantonale d'avoir violé l' art. 305bis CP en lien avec l' art. 102 al. 2 CP , en écartant le soupçon d'actes de blanchiment imputables à l'entreprise en application de ce dernier article au double motif que le cheminement des fonds demeurait traçable et que d'éventuels actes de blanchiment n'auraient pu être commis qu'en dehors de la sphère de contrôle de B.________ Suisse.</w:t>
      </w:r>
    </w:p>
    <w:p>
      <w:r>
        <w:rPr>
          <w:b/>
        </w:rPr>
        <w:t>E. 3.1</w:t>
      </w:r>
    </w:p>
    <w:p>
      <w:r>
        <w:t>Sur le premier point, la cour cantonale aurait méconnu l' art. 305bis CP en considérant que la subsistance d'un</w:t>
      </w:r>
    </w:p>
    <w:p>
      <w:r>
        <w:t>paper trail aurait exclu le blanchiment. La recourante objecte qu'au contraire, nombre d'actes considérés par la jurisprudence comme susceptibles d'entraver la confiscation (virements bancaires à l'étranger, virements d'un compte à un autre dont les détenteurs ne correspondent pas, etc.) n'entraînent aucune rupture de la trace documentaire et que l'acquisition de biens ou de valeurs susceptibles d'être négociés, dont des titres, peut précisément constituer un acte incriminé par l' art. 305bis CP . Elle allègue dans ce contexte, en se référant à la procédure pénale ouverte à Luxembourg, que K.________, qui avait toujours géré le compte no yyy au sein de B.________ Europe, avait investi une part conséquente des avoirs en violation du contrat liant A.________ SA à la banque dans des fonds " extrêmement douteux, sans doute frauduleux ". En particulier, les fonds gérés par les sociétés du dénommé V.________ étaient domiciliés dans les Îles Vierges britanniques, étaient qualifiés de " fonds privés " et ne pouvaient compter, au plus, que 50 investisseurs. Leur gestionnaire pouvait, en vertu de leur prospectus très vague, investir dans toutes les classes d'actifs dans le monde entier et environ 40'000'000.- de dollars investis dans ces fonds avaient disparu, seuls des titres non liquides et sans valeur demeurant en main de la recourante. En outre, nombre des investissements contestés, qui avaient conduit à la disparition de quelque 60'000'000.- au total, étaient liés au dénommé V.________, CEO de C.A.________, comportant des ramifications en Suisse et en Angleterre, dont l'une, C.B.________, serait administrée par l'épouse de K.________. Selon la recourante, cela poserait la question d'actes de blanchiment commis par d'autres employés du groupe B.________, dont des employés chargés de la surveillance des activités de B.________ Europe et/ou les administrateurs de A.________ SA, eux-mêmes employés de B.________ Europe. La recourante allègue enfin que K.________ aurait reçu, à une reprise tout au moins, des dividendes d'une société affiliée à V.________, sise à X.________. La recourante en conclut qu'il ne pourrait être exclu que l'acquisition de parts de fonds constituât un acte de blanchiment.</w:t>
      </w:r>
    </w:p>
    <w:p>
      <w:r>
        <w:rPr>
          <w:b/>
        </w:rPr>
        <w:t>E. 3.2</w:t>
      </w:r>
    </w:p>
    <w:p>
      <w:r>
        <w:t>Sur le deuxième point, la recourante oppose que l'achat de parts de fonds de placement par K.________, gestionnaire unique du compte, est intervenu alors que celui-ci agissait en qualité d'employé de B.________ Europe, soit dans la sphère de surveillance de la maison-mère B.________ Suisse. Quant aux infractions préalables, la recourante relève avoir porté plainte à Luxembourg contre K.________ et toute autre personne susceptible d'avoir participé à des infractions de droit luxembourgeois de faux, escroquerie, abus de confiance, abus de biens sociaux, blanchiment et recel. B.________ Europe avait également porté plainte contre K.________. Ces infractions préalables avaient été commises au sein de la banque, préalablement ou concomitamment à l'achat des parts de fonds. Elles avaient eu lieu à une échelle très importante puisqu'il était question d'environ 400 transactions non autorisées, pour un dommage supérieur à CHF 60'000'000.- dans le seul cas de la recourante, qui ne serait pas la seule victime. Ces transactions devaient être considérées comme des actes d'entrave efficaces, les fonds détournés n'ayant pu être retrouvés plus de trois ans après le dépôt de la plainte pénale.</w:t>
      </w:r>
    </w:p>
    <w:p>
      <w:r>
        <w:rPr>
          <w:b/>
        </w:rPr>
        <w:t>E. 4</w:t>
      </w:r>
    </w:p>
    <w:p>
      <w:r>
        <w:t>Il convient, à titre préliminaire, de relever que la présente procédure n'a pas pour objet d'éventuels comportements illicites du dénommé K.________, qui n'y est pas partie et doit être présumé innocent des faits que la recourante lui reproche, celle-ci devant, toutefois, être admise à alléguer les circonstances pertinentes pour l'examen du classement de sa plainte.</w:t>
      </w:r>
    </w:p>
    <w:p>
      <w:r>
        <w:rPr>
          <w:b/>
        </w:rPr>
        <w:t>E. 4.1</w:t>
      </w:r>
    </w:p>
    <w:p>
      <w:r>
        <w:t>Conformément à l' art. 102 CP ,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260ter, 260quinquies, 305bis, 322ter, 322quinquies, 322septies, al. 1, ou 322octies du Code pénal, l'entreprise est punie indépendamment de la punissabilité des personnes physiques s'il doit lui être reproché de ne pas avoir pris toutes les mesures d'organisation raisonnables et nécessaires pour empêcher une telle infraction (al. 2). Cette responsabilité, qu'elle soit subsidiaire (al. 1) ou primaire (al. 2), suppose en toute hypothèse qu'un délit ait été commis au sein de l'entreprise dans l'exercice d'activités commerciales conformes à ses buts. La commission de l'infraction préalable constitue une condition objective de punissabilité ( ATF 142 IV 333 consid. 4.1 p. 336 s.). Hors des infractions visées par l' art. 102 al. 2 CP , l'infraction préalable doit pouvoir être rapportée au déficit d'organisation. Que l'infraction ait été commise ne suffit cependant pas à démontrer la violation par l'entreprise de ses obligations. Encore faut-il établir que des mesures d'organisation concrètes s'imposaient mais n'ont pas été prises. L' art. 102 al. 2 CP sanctionne ainsi un délit d'omission par négligence. L'entreprise est garante de la surveillance de ses propres activités ( ATF 142 IV 33 consid. 4.2 p. 337 s.).</w:t>
      </w:r>
    </w:p>
    <w:p>
      <w:r>
        <w:rPr>
          <w:b/>
        </w:rPr>
        <w:t>E. 4.2</w:t>
      </w:r>
    </w:p>
    <w:p>
      <w:r>
        <w:t>L' 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p. 174 s.). L'acte d'entrave peut être constitué par n'importe quel comportement propre à faire obstacle à l'identification de l'origine, la découverte ou la confiscation de la valeur patrimoniale provenant d'un crime ( ATF 136 IV 188 consid. 6.1 p. 191 et les références citées).</w:t>
      </w:r>
    </w:p>
    <w:p>
      <w:r>
        <w:rPr>
          <w:b/>
        </w:rPr>
        <w:t>E. 4.3</w:t>
      </w:r>
    </w:p>
    <w:p>
      <w:r>
        <w:t>Dans la perspective de la responsabilité primaire de l'entreprise ( art. 102 al. 2 CP ), la recourante souligne, tout d'abord, à bon escient que la seule existence d'une trace documentaire ne saurait, à elle seule, exclure de manière absolue qu'une transaction constitue un acte de blanchiment. Cela ne suffit toutefois pas encore à rendre une condamnation de B.________ Suisse plus vraisemblable ou même aussi vraisemblable qu'un acquittement. En tant que la recourante soutient que " ces infractions préalables ont été commises au sein de la banque, préalablement ou concomitamment à l'achat des parts de fonds " et que " ces transactions doivent être considérées comme des actes d'entrave efficace ", ses explications ne permettent pas de distinguer un ou des actes préalables d'éventuels actes subséquents de blanchiment. En particulier, à supposer que les infractions préalables aient été constituées par des investissements à perte ayant causé quelque 60 millions de francs de dommage, on ne voit pas comment un éventuel butin aurait pu être blanchi par le biais de nouveaux placements effectués depuis le compte no yyy ou, plus généralement à partir de comptes entrant dans le périmètre de la surveillance consolidée exercée par B.________ Suisse. On ne perçoit pas non plus concrètement en quoi les placements effectués dans les fonds d'investissements éventuellement gérés par les sociétés du dénommé V.________ se distingueraient des transactions précédentes si tous les investissements réalisés devaient avoir eu pour but de " siphonner " le compte no yyy. On ne saurait, pour ces motifs, reprocher à la cour cantonale d'avoir jugé qu'il n'était pas établi que d'éventuels actes de blanchiment auraient été commis dans le périmètre de la surveillance exercée par B.________ Suisse. Il n'en irait pas différemment s'il fallait considérer que le produit de l'infraction pourrait être constitué, comme le laisse entendre la recourante dans le sens d'un</w:t>
      </w:r>
    </w:p>
    <w:p>
      <w:r>
        <w:t>pretium sceleris , de commissions ou de dividendes afférents à la vente des produits financiers dans lesquels ont été réalisés les investissements. Rien ne suggère, en effet, que de tels montants aient pu ou dû se trouver sur des comptes se trouvant dans le périmètre de la surveillance incombant à B.________ Suisse et la recourante n'expose pas non plus de quels actes d'entrave ils auraient pu être l'objet. Par surabondance, à supposer, comme l'allègue la recourante, que les fonds de placement qu'elle mentionne constituassent réellement des investissements " extrêmement douteux, sans doute frauduleux ", les soupçons à cet égard devant être renforcés " puisque la somme d'environ 40'000'000.- qui y a été placée a entièrement disparu ", respectivement que " les investissements dans ces fonds [soit les fonds C.________] constituent à ce jour des avoirs illiquides impossibles à vendre, de sorte que leur valeur réelle doit être évaluée à USD 0.- ", que cette hypothèse ne plaiderait de toute manière pas non plus en faveur d'actes d'entrave au sens de l' art. 305bis CP . Dans la règle, en effet, des investissements à perte ou relevant de la gestion fautive ( art. 165 CP ) ne constituent pas des actes de blanchiment (ACKERMANN/ZEHNDER, op. cit., § 11, nos 604 ss). Il n'est, dès lors, pas nécessaire non plus d'examiner plus avant la question posée par la recourante d'un éventuel blanchiment commis par d'autres employés du Groupe B.________, dont des employés chargés de la surveillance des activités de B.________ Europe et/ou les administrateurs de A.________ SA.</w:t>
      </w:r>
    </w:p>
    <w:p>
      <w:r>
        <w:t>Il résulte de ce qui précède que l'argumentation juridique développée par la recourante ne démontre pas à satisfaction de droit que la cour cantonale aurait fait un usage critiquable du pouvoir d'appréciation dont elle disposait en considérant qu'un acquittement de B.________ Suisse des reproches fondés sur les art. 102 al. 2 et 305bis CP apparaissait plus vraisemblable qu'une condamnation.</w:t>
      </w:r>
    </w:p>
    <w:p>
      <w:r>
        <w:rPr>
          <w:b/>
        </w:rPr>
        <w:t>E. 4.4</w:t>
      </w:r>
    </w:p>
    <w:p>
      <w:r>
        <w:t>Quant à une responsabilité subsidiaire de l'entreprise fondée sur l' art. 102 al. 1 CP , on peut se limiter à indiquer que, comme l'a relevé la cour cantonale, les faits que la recourante considère comme des actes préalables font l'objet d'une enquête dirigée notamment contre le gestionnaire du compte et les administrateurs de A.________ SA qui étaient des employés de B.________ Europe. Or, la recourante n'allègue pas, du moins ni expressément ni précisément, que d'autres personnes (demeurées inconnues) que le gestionnaire de son compte et ses propres administrateurs pourraient avoir commis des infractions patrimoniales dans l'exercice d'activités commerciales conformes aux buts de la banque.</w:t>
      </w:r>
    </w:p>
    <w:p>
      <w:r>
        <w:rPr>
          <w:b/>
        </w:rPr>
        <w:t>E. 4.5</w:t>
      </w:r>
    </w:p>
    <w:p>
      <w:r>
        <w:t>Les moyens développés par la recourante doivent être rejetés, sans qu'il soit nécessaire d'examiner plus avant les critiques de fait par lesquels elle reproche à la cour cantonale de n'avoir pas constaté certaines circonstances qui rendraient " hautement suspects " les fonds gérés par les sociétés du dénommé V.________ (caractère privé de ces fonds, étendue des pouvoirs conférés au gestionnaire des fonds, localisation de ceux-ci, etc.). Il en va de même de l'éventuelle perception, à une reprise, de dividendes d'une société</w:t>
      </w:r>
    </w:p>
    <w:p>
      <w:r>
        <w:t>offshore par K.________. Pour les raisons exposées, ces éléments de faits n'apparaissent, en effet, pas pertinents.</w:t>
      </w:r>
    </w:p>
    <w:p>
      <w:r>
        <w:t>Enfin, dès lors que, pour parvenir à la solution qu'elle a retenue, la cour cantonale n'a contesté ni la compétence des autorités pénales suisses, ni le principe de la responsabilité de la société-mère suisse par rapport aux activités de sa filiale luxembourgeoise, ont peut se dispenser également de se pencher plus avant sur les développements y relatifs de la recourante. Pour le surplus, autant que la recourante reproche, à cet égard, à la cour cantonale d'avoir violé son droit à une décision motivée faute d'avoir répondu aux griefs qu'elle avait soulevés à ce sujet dans son recours cantonal, il suffit de rappeler que le droit à une décision motivée déduit de l' art. 29 al. 2 Cst. n'impose pas au juge de discuter n'importe quel argument, mais qu'il peut se limiter à l'examen des questions décisives pour l'issue du litige ( ATF 142 II 154 consid. 4.2 p. 157; 139 IV 179 consid. 2.2 p. 183).</w:t>
      </w:r>
    </w:p>
    <w:p>
      <w:r>
        <w:rPr>
          <w:b/>
        </w:rPr>
        <w:t>E. 5</w:t>
      </w:r>
    </w:p>
    <w:p>
      <w:r>
        <w:t>Le recours doit être rejeté dans la mesure où il est recevable.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