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6B_750/2015 vom 16. September 2015</w:t>
      </w:r>
    </w:p>
    <w:p>
      <w:r>
        <w:t>Bundesgericht, 2015-09-16, DE</w:t>
      </w:r>
    </w:p>
    <w:p>
      <w:r>
        <w:rPr>
          <w:b/>
        </w:rPr>
        <w:t xml:space="preserve">Quelle: </w:t>
      </w:r>
      <w:r>
        <w:t>https://mcp.opencaselaw.ch/entscheid/bger_6B_750_2015</w:t>
      </w:r>
    </w:p>
    <w:p>
      <w:r>
        <w:t>FR: TF 6B_750/2015 du 16 septembre 2015</w:t>
      </w:r>
    </w:p>
    <w:p>
      <w:r>
        <w:t>IT: TF 6B_750/2015 del 16 settembre 2015</w:t>
      </w:r>
    </w:p>
    <w:p>
      <w:pPr>
        <w:pStyle w:val="Heading2"/>
      </w:pPr>
      <w:r>
        <w:t>Erwägungen</w:t>
      </w:r>
    </w:p>
    <w:p>
      <w:r>
        <w:rPr>
          <w:b/>
        </w:rPr>
        <w:t>E. 1</w:t>
      </w:r>
    </w:p>
    <w:p>
      <w:r>
        <w:t>Der Beschwerdeführer reichte am 12. November 2014 eine Strafanzeige gegen Mitarbeiter einer Versicherung ein unter anderem wegen des Verdachts auf Verletzung des Datenschutzgesetzes. Am 27. Januar 2015 nahm die Staatsanwaltschaft Basel-Stadt das Verfahren nicht an die Hand. Eine dagegen gerichtete Beschwerde wies das Appellationsgericht des Kantons Basel-Stadt am 23. April 2015 ab.</w:t>
      </w:r>
    </w:p>
    <w:p>
      <w:r>
        <w:t>Der Beschwerdeführer wendet sich ans Bundesgericht und beantragt, der angefochtene Entscheid sei aufzuheben und die Staatsanwaltschaft anzuweisen, die Strafuntersuchung unverzüglich an die Hand zu nehmen.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 seinen allfälligen Zivilforderungen nicht. Dass er in der Strafanzeige unter anderem auf die Art. 47 und 49 OR hingewiesen hat (angefochtener Entscheid S. 2), genügt nach dem Gesagten als Begründung nicht. Da Zivilforderungen aufgrund des Falles auch nicht klarerweise ersichtlich sind, ist der Beschwerdeführer zur Beschwerde nicht legitimiert.</w:t>
      </w:r>
    </w:p>
    <w:p>
      <w:r>
        <w:rPr>
          <w:b/>
        </w:rPr>
        <w:t>E. 3</w:t>
      </w:r>
    </w:p>
    <w:p>
      <w:r>
        <w:t>Der Beschwerdeführer verweist auf die sogenannte "Star-Praxis" des Bundesgerichts (Beschwerde S. 4). Danach kann auch der in der Sache nicht Legitimierte die Verletzung ihm zustehender Verfahrensgarantien rügen, deren Missachtung eine formelle Rechtsverweigerung darstellt ( BGE 141 I 1 E. 1.2). Eine solche Verfahrensgarantie, die verletzt worden sein soll, nennt der Beschwerdeführer jedoch nicht. Seine Vorbringen laufen alle auf die Rüge hinaus, die kantonalen Behörden hätten zu Unrecht kein Verfahren an die Hand genommen. Mit dieser Frage kann sich das Bundesgericht nicht befassen.</w:t>
      </w:r>
    </w:p>
    <w:p>
      <w:r>
        <w:rPr>
          <w:b/>
        </w:rPr>
        <w:t>E. 4</w:t>
      </w:r>
    </w:p>
    <w:p>
      <w:r>
        <w:t>Auf die Beschwerde ist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