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750/2007 vom 14. April 2008</w:t>
      </w:r>
    </w:p>
    <w:p>
      <w:r>
        <w:t>Bundesgericht, 2008-04-14, FR</w:t>
      </w:r>
    </w:p>
    <w:p>
      <w:r>
        <w:rPr>
          <w:b/>
        </w:rPr>
        <w:t xml:space="preserve">Quelle: </w:t>
      </w:r>
      <w:r>
        <w:t>https://mcp.opencaselaw.ch/entscheid/bger_6B_750_2007</w:t>
      </w:r>
    </w:p>
    <w:p>
      <w:r>
        <w:t>FR: TF 6B 750/2007 du 14 avril 2008</w:t>
      </w:r>
    </w:p>
    <w:p>
      <w:r>
        <w:t>IT: TF 6B 750/2007 del 14 aprile 2008</w:t>
      </w:r>
    </w:p>
    <w:p>
      <w:pPr>
        <w:pStyle w:val="Heading2"/>
      </w:pPr>
      <w:r>
        <w:t>Regeste</w:t>
      </w:r>
    </w:p>
    <w:p>
      <w:r>
        <w:t>Rémunération de l'avocat d'office | Droit pénal (en général)</w:t>
      </w:r>
    </w:p>
    <w:p>
      <w:pPr>
        <w:pStyle w:val="Heading2"/>
      </w:pPr>
      <w:r>
        <w:t>Erwägungen</w:t>
      </w:r>
    </w:p>
    <w:p>
      <w:r>
        <w:rPr>
          <w:b/>
        </w:rPr>
        <w:t>E. 1.1</w:t>
      </w:r>
    </w:p>
    <w:p>
      <w:r>
        <w:t>L'arrêt attaqué peut faire l'objet d'un recours en matière pénale (art. 78 al. 1 et 80 al. 1 LTF), que le recourant est habilité à former en sa qualité d'avocat d'office de l'accusé ( art. 81 al. 1 LTF ).</w:t>
      </w:r>
    </w:p>
    <w:p>
      <w:r>
        <w:rPr>
          <w:b/>
        </w:rPr>
        <w:t>E. 1.2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w:t>
      </w:r>
    </w:p>
    <w:p>
      <w:r>
        <w:rPr>
          <w:b/>
        </w:rPr>
        <w:t>E. 1.3</w:t>
      </w:r>
    </w:p>
    <w:p>
      <w:r>
        <w:t>Le recours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1.4</w:t>
      </w:r>
    </w:p>
    <w:p>
      <w:r>
        <w:t>Le Tribunal fédéral applique le droit d'office ( art. 106 al. 1 LTF ) et n'est donc limité ni par les arguments du recourant ni par la motivation de l'autorité précédente. Toutefois, vu l'exigence de motivation du recours, il n'examine en principe que les griefs invoqués et n'est dès lors pas tenu de traiter des questions qui ne sont plus discutées devant lui. Il ne peut aller au-delà des conclusions des parties ( art. 107 al. 1 LTF ).</w:t>
      </w:r>
    </w:p>
    <w:p>
      <w:r>
        <w:rPr>
          <w:b/>
        </w:rPr>
        <w:t>E. 2.1</w:t>
      </w:r>
    </w:p>
    <w:p>
      <w:r>
        <w:t>La fixation de l'indemnité allouée à l'avocat d'office pour son activité devant les juridictions cantonales relève en principe du droit cantonal (cf. ATF 132 I 201 consid. 7.2 et 7.3 p. 205 et 206;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En principe, elle devrait couvrir les frais généraux de l'avocat, dont on estime qu'ils correspondent d'ordinaire à au moins 40% du revenu professionnel brut, voire à la moitié de celui-ci ( ATF 122 I 1 consid. 3a et 3c p. 2 et 3 et les références citées; voir aussi ATF 122 I 322 consid. 3b p. 325). L'autorité compétente dispose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122 I 1 consid. 3a p. 2 et les arrêts cités). Enfin, il ne suffit pas que l'autorité ait apprécié de manière erronée un poste de l'état des frais ou qu'elle se soit fondée sur un argument déraisonnable; encore faut-il que le montant global alloué à titre d'indemnité se révèle arbitraire ( ATF 109 Ia 107 consid. 3d p. 112), au sens de la jurisprudence constamment rappelée ( ATF 133 I 149 consid. 3.1 p. 153 et les arrêts cités), à laquelle il convient de se référer. Malgré diverses critiques doctrinales, le Tribunal fédéral a récemment confirmé qu'il est admissible que le tarif horaire de l'avocat d'office soit généralement inférieur à celui utilisé pour fixer la rémunération de l'avocat mandaté par son client. Font exception à cette règle les cantons de Zoug et d'Obwald, dans lesquels la rémunération de l'avocat commis d'office et du mandataire de choix est en principe équivalente, parce que soumise à un tarif identique. Cependant, même dans ces cas, les honoraires payés par l'Etat au défenseur désigné peuvent, suivant la pratique, être moins élevés que ceux versés à son avocat par un client privé ( ATF 132 I 201 consid. 7.3.3 p. 208).</w:t>
      </w:r>
    </w:p>
    <w:p>
      <w:r>
        <w:rPr>
          <w:b/>
        </w:rPr>
        <w:t>E. 2.2</w:t>
      </w:r>
    </w:p>
    <w:p>
      <w:r>
        <w:t>En règle générale, la rémunération de l'avocat d'office, qui, il y a quelques années, pouvait encore être limitée à 40 % ou à 50 % du revenu professionnel brut d'un avocat payé par son client ( ATF 122 I 1 consid. 3a p. 3 et les arrêts cités), varie aujourd'hui de 60 % à 85 % de la rémunération ordinaire privée, cette dernière proportion étant appliquée dans les cantons de Lucerne et de Nidwald ( ATF 132 I 201 consid. 7.3.1 p. 207 et les références). Pour les cantons qui pratiquent la limitation du dédommagement versé à l'avocat désigné d'office par le biais d'un tarif horaire réduit, le taux de 150 fr. est notamment en usage dans les cantons de Glaris, Appenzell Rhodes extérieures et Fribourg ( ATF 132 I 201 consid. 7.3.2 p. 207 s.).</w:t>
      </w:r>
    </w:p>
    <w:p>
      <w:r>
        <w:rPr>
          <w:b/>
        </w:rPr>
        <w:t>E. 2.3</w:t>
      </w:r>
    </w:p>
    <w:p>
      <w:r>
        <w:t>Dans le présent cas, la rémunération horaire de l'avocat s'élèverait à 96 fr. sans la TVA, respectivement à 103 fr. en incluant cette dernière, ce qui ne saurait équivaloir au 60 % de la rémunération ordinaire qu'un avocat de choix tirerait de l'exercice de sa profession. En effet, dans cette hypothèse, il faudrait retenir un montant de 172 fr., dont le 60 %, proposé par la jurisprudence comme étant la limite inférieure de la rémunération de l'avocat d'office, serait de 103 fr., TVA incluse. Un tel montant de 172 fr., pour la rémunération horaire d'un avocat breveté dans le canton de Vaud, s'avère arbitraire, parce que manifestement trop bas. En octroyant, en l'espèce, une rémunération à l'avocat d'office de 96 fr. sans la TVA ou de 103 fr. avec le paiement de cet impôt, la cour cantonale dépasse à peine les deux tiers des tarifs horaires réduits prévus à cet effet dans un certain nombre de cantons, dont le canton voisin de Fribourg. Cette comparaison permet également de mettre en évidence le caractère arbitraire de la rémunération payée pour le défenseur d'office; si la cour cantonale estimait que le mandataire désigné exagérait sa note de frais, il lui appartenait de l'indiquer de façon précise en rectifiant le nombre d'heures de travail admis. Or, malgré la simplicité de la cause plaidée, le mandataire devait étudier le dossier, rédiger le recours et conférer avec son client; sur ce dernier point, le Tribunal fédéral ne peut pas juger de l'opportunité d'un déplacement au pénitencier, que la juridiction cantonale n'a toutefois pas critiqué. Enfin, il sied de rappeler que la cour cantonale a admis le recours qui lui était soumis, même si la condition posée dans le dispositif de son arrêt, d'exécuter l'injonction de quitter la Suisse, a pu jouer un rôle.</w:t>
      </w:r>
    </w:p>
    <w:p>
      <w:r>
        <w:rPr>
          <w:b/>
        </w:rPr>
        <w:t>E. 2.4</w:t>
      </w:r>
    </w:p>
    <w:p>
      <w:r>
        <w:t>En résumé, la cour cantonale a fixé de manière arbitrairement basse la rémunération de l'avocat d'office. Le chiffre III du dispositif de l'arrêt attaqué doit par conséquent être annulé et la cause renvoyée à la cour cantonale pour nouvelle décision sur les frais de justice, qui comprennent l'indemnité allouée au défenseur d'office.</w:t>
      </w:r>
    </w:p>
    <w:p>
      <w:r>
        <w:rPr>
          <w:b/>
        </w:rPr>
        <w:t>E. 3</w:t>
      </w:r>
    </w:p>
    <w:p>
      <w:r>
        <w:t>Vu l'issue du litige, il ne sera pas perçu de frais. Le canton de Vaud sera condamné à payer une indemnité de dépens de 2000 fr.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