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6B_74/2025 vom 24. Juni 2025</w:t>
      </w:r>
    </w:p>
    <w:p>
      <w:r>
        <w:t>Bundesgericht, 2025-06-24, DE</w:t>
      </w:r>
    </w:p>
    <w:p>
      <w:r>
        <w:rPr>
          <w:b/>
        </w:rPr>
        <w:t xml:space="preserve">Quelle: </w:t>
      </w:r>
      <w:r>
        <w:t>https://mcp.opencaselaw.ch/entscheid/bger_6B_74_2025</w:t>
      </w:r>
    </w:p>
    <w:p>
      <w:r>
        <w:t>FR: TF 6B_74/2025 du 24 juin 2025</w:t>
      </w:r>
    </w:p>
    <w:p>
      <w:r>
        <w:t>IT: TF 6B_74/2025 del 24 giugno 2025</w:t>
      </w:r>
    </w:p>
    <w:p>
      <w:pPr>
        <w:pStyle w:val="Heading2"/>
      </w:pPr>
      <w:r>
        <w:t>Erwägungen</w:t>
      </w:r>
    </w:p>
    <w:p>
      <w:r>
        <w:rPr>
          <w:b/>
        </w:rPr>
        <w:t>E. 1</w:t>
      </w:r>
    </w:p>
    <w:p>
      <w:r>
        <w:t>Der Beschwerde in Strafsachen gegen eine Landesverweisung kommt in analoger Anwendung von Art. 103 Abs. 2 lit. b BGG die aufschiebende Wirkung zu (Urteile 6B_403/2025 vom 14. Mai 2025 E. 3; 6B_378/2018 vom 22. Mai 2019 E. 1, nicht publiziert in: BGE 145 IV 364 ; 6B_188/2021 vom 23. Juni 2021 E. 1 mit Hinweisen). Das dahingehende Gesuch des Beschwerdeführers ist damit gegenstandslos.</w:t>
      </w:r>
    </w:p>
    <w:p>
      <w:r>
        <w:rPr>
          <w:b/>
        </w:rPr>
        <w:t>E. 2.1</w:t>
      </w:r>
    </w:p>
    <w:p>
      <w:r>
        <w:t>Die Beschwerde an das Bundesgericht ist zu begründen ( Art. 42 Abs. 1 BGG ). In der Begründung ist unter Bezugnahme auf den angefochtenen Entscheid in gedrängter Form darzulegen, inwiefern dieser Recht verletzt ( Art. 42 Abs. 2 BGG ). Die Rüge der Verletzung von Grundrechten (einschliesslich Willkür bei der Sachverhaltsfeststellung) muss in der Beschwerde anhand des angefochtenen Entscheids präzise vorgebracht und substanziiert begründet werden ( Art. 106 Abs. 2 BGG ; BGE 148 IV 39 E. 2.3.5 ; 147 I 47 E. 3.1; 146 IV 114 E. 2.1; je mit Hinweisen). Diese qualifizierte Rüge- und Begründungsobliegenheit verlangt, dass in der Beschwerde klar und detailliert anhand der Erwägungen des angefochtenen Entscheids dargelegt wird, inwiefern verfassungsmässige Rechte verletzt worden sein sollen ( BGE 148 IV 356 E. 2.1; 147 IV 73 E. 4.1.2 ; 145 I 121 E. 2.1). Auf ungenügend begründete Rügen oder allgemeine appellatorische Kritik am angefochtenen Entscheid tritt das Bundesgericht nicht ein ( BGE 148 IV 205 E. 2.6; 147 IV 73 E. 4.1.2; 146 IV 88 E. 1.3.1).</w:t>
      </w:r>
    </w:p>
    <w:p>
      <w:r>
        <w:rPr>
          <w:b/>
        </w:rPr>
        <w:t>E. 2.2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w:t>
      </w:r>
    </w:p>
    <w:p>
      <w:r>
        <w:rPr>
          <w:b/>
        </w:rPr>
        <w:t>E. 2.3.1</w:t>
      </w:r>
    </w:p>
    <w:p>
      <w:r>
        <w:t>Art. 66a Abs. 1 lit. d StGB sieht für Ausländer, die wegen schwerer Körperverletzung im Sinne von Art. 122 StGB verurteilt wurden, unabhängig von der Höhe der Strafe, die obligatorische Landesverweisung für 5-15 Jahre aus der Schweiz vor. Der Beschwerdeführer ist thailändischer Staatsangehöriger und wurde wegen versuchter schwerer Körperverletzung i.S.v. Art. 122 StGB i.V.m Art. 22 Abs. 1 StGB schuldig gesprochen. Demzufolge sind die Voraussetzungen für eine Landesverweisung gemäss Art. 66a Abs. 1 lit. b StGB grundsätzlich erfüllt.</w:t>
      </w:r>
    </w:p>
    <w:p>
      <w:r>
        <w:rPr>
          <w:b/>
        </w:rPr>
        <w:t>E. 2.3.2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6B_1069/2023 vom 21. Januar 2025 E. 2.2.2; 6B_629/2024 vom 21. Oktober 2024 E. 2.3.2;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6B_1069/2023 vom 21. Januar 2025 E. 2.2.2; 6B_926/2023 vom 13. Januar 2025 E. 5.4.2; je mit Hinweisen).</w:t>
      </w:r>
    </w:p>
    <w:p>
      <w:r>
        <w:rPr>
          <w:b/>
        </w:rPr>
        <w:t>E. 2.3.3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6B_1069/2023 vom 21. Januar 2025 E. 2.2.3; 6B_716/2024 vom 4. Dezember 2024 E. 4.1.3; je mit Hinweisen). Art. 66a StGB ist EMRK-konform auszulegen. Die Interessenabwägung im Rahmen der Härtefallklausel von Art. 66a Abs. 2 StGB hat sich daher an der Verhältnismässigkeitsprüfung nach Art. 8 Ziff. 2 EMRK zu orientieren ( BGE 145 IV 161 E. 3.4; Urteile 6B_1069/2023 vom 21. Januar 2025 E. 2.2.3; 6B_716/2024 vom 4. Dezember 2024 E. 4.1.3; je mit Hinweisen).</w:t>
      </w:r>
    </w:p>
    <w:p>
      <w:r>
        <w:rPr>
          <w:b/>
        </w:rPr>
        <w:t>E. 2.3.4</w:t>
      </w:r>
    </w:p>
    <w:p>
      <w:r>
        <w:t>Berührt die Landesverweisung Gewährleistungen von Art. 8 Ziff. 1 EMRK , ist der Eingriff nach Art. 8 Ziff. 2 EMRK zu rechtfertigen ( BGE 146 IV 105 E. 4.2 mit Hinweis auf das Urteil des EGMR</w:t>
      </w:r>
    </w:p>
    <w:p>
      <w:r>
        <w:t>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w:t>
      </w:r>
    </w:p>
    <w:p>
      <w:r>
        <w:t>E.V. gegen Schweiz vom 18. Mai 2021, Nr. 77220/16, § 34; M.M. gegen Schweiz vom 8. Dezember 2020, Nr. 59006/18, § 49; je mit Hinweisen; Urteile 6B_640/2024 vom 2. Dezember 2024 E. 2.3.4; 6B_255/2021 vom 3. Oktober 2022 E. 1.3.5; 6B_1245/2021 vom 8. Juni 2022 E. 2.3.3). Die Konvention verlangt, dass die individuellen Interessen an der Erteilung beziehungsweise am Erhalt des Anwesenheitsrechts und die öffentlichen Interessen an dessen Verweigerung gegeneinander abgewogen werden ( BGE 142 II 35 E. 6.1; Urteile 6B_640/2024 vom 2. Dezember 2024 E. 2.3.4; 6B_629/2024 vom 21. Oktober 2024 E. 2.3.4; 6B_1234/2023 vom 11. Juli 2024 E. 3.3.2; je mit Hinweisen).</w:t>
      </w:r>
    </w:p>
    <w:p>
      <w:r>
        <w:t>Für die Frage, ob der Eingriff in das Recht auf Achtung des Familienlebens "notwendig" im Sinne von Art. 8 Ziff. 2 EMRK ist, sind nach der Rechtsprechung des EGMR nebst den zuvor erwähnten Kriterien (vgl. E. 2.3.4 oben;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w:t>
      </w:r>
    </w:p>
    <w:p>
      <w:r>
        <w:t>Z. gegen Schweiz vom 22. Dezember 2020, Nr. 6325/15, § 57;</w:t>
      </w:r>
    </w:p>
    <w:p>
      <w:r>
        <w:t>I. M. gegen Schweiz vom 9. April 2019, Nr. 23887/16, § 69;</w:t>
      </w:r>
    </w:p>
    <w:p>
      <w:r>
        <w:t>Kissiwa Koffi gegen Schweiz vom 15. November 2012, Nr. 38005/07, § 63; Urteile 6B_640/2024 vom 2. Dezember 2024 E. 2.3.5; 6B_629/2024 vom 21. Oktober 2024 E. 2.3.5; je mit Hinweisen).</w:t>
      </w:r>
    </w:p>
    <w:p>
      <w:r>
        <w:rPr>
          <w:b/>
        </w:rPr>
        <w:t>E. 2.3.5</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rPr>
          <w:b/>
        </w:rPr>
        <w:t>E. 3</w:t>
      </w:r>
    </w:p>
    <w:p>
      <w:r>
        <w:t>Sofern der Beschwerdeführer die Verletzung prozessualer Rechte resp. Kritik an der Erstellung des für den Schuldspruch massgeblichen Sachverhalts andeutet, genügen seine Ausführungen den Anforderungen an eine Beschwerde vor Bundesgericht nicht.</w:t>
      </w:r>
    </w:p>
    <w:p>
      <w:r>
        <w:t>Der Beschwerdeführer macht namentlich geltend, es sei eine "unangemessene Untersuchung" durchgeführt worden, und behauptet eine "eklatante Verletzung der polizeilichen Sorgfaltspflicht" sowie eine unter "fehlerhaften Bedingungen" durchgeführte polizeiliche Befragung. Zudem sei die "Qualität der Übersetzung während des Verfahrens" nach seinem Dafürhalten mangelhaft gewesen, was seine Verteidigungsmöglichkeiten beeinträchtigt habe und zu Missverständnissen führen könne. Er habe den Eindruck, das Verfahren sei auf einen schnellen Abschluss hinausgelaufen, ohne dass die Beweise und Umstände ausreichend geprüft worden seien, was den Grundsätzen eines rechtsstaatlichen Verfahrens widerspreche.</w:t>
      </w:r>
    </w:p>
    <w:p>
      <w:r>
        <w:t>Weder legt der Beschwerdeführer dar, welche Übersetzung (en) er beanstandet, noch ist einsichtig, ob bzw. inwiefern sich eine angebliche unzureichende Übersetzung auf seine konkrete Verteidigungsmöglichkeit im Verfahren ausgewirkt hat. Gleiches gilt für seine restliche (generalisierte und unsubstanziierte) Kritik an der Untersuchung bzw. Beweiswürdigung. Es ist nicht Aufgabe des Bundesgerichts, in den kantonalen Akten nach Aktenstellen zu suchen, welche die Behauptungen des Beschwerdeführers untermauern könnten. Auf die Beschwerde ist diesbezüglich nicht einzutreten.</w:t>
      </w:r>
    </w:p>
    <w:p>
      <w:r>
        <w:rPr>
          <w:b/>
        </w:rPr>
        <w:t>E. 4</w:t>
      </w:r>
    </w:p>
    <w:p>
      <w:r>
        <w:t>Der Beschwerdeführer wendet sich gegen die Landesverweisung. Er macht geltend, entgegen den vorinstanzlichen Erwägungen, würde die Landesverweisung für ihn zu einem schweren persönlichen Härtefall führen.</w:t>
      </w:r>
    </w:p>
    <w:p>
      <w:r>
        <w:rPr>
          <w:b/>
        </w:rPr>
        <w:t>E. 4.1</w:t>
      </w:r>
    </w:p>
    <w:p>
      <w:r>
        <w:t>Der Beschwerdeführer wurde unbestrittenermassen 1986 in Thailand geboren, wuchs dort auf und reiste 2014 - demnach mit 28 Jahren - zu seinem Partner in die Schweiz. Er ist folglich mit der Kultur und den lokalen Gepflogenheiten in seinem Heimatland gut vertraut. In Thailand wohnt zudem sein Vater. Zwar bringt der Beschwerdeführer vor, er habe zu diesem keinen Kontakt, dabei handelt es sich aber um eine (soweit ersichtlich neue) unbelegte Behauptung, die für das Bundesgericht unbeachtlich ist. Ungeachtet dessen scheint dem Beschwerdeführer eine Reintegration angesichts seines Alters bei der seinerzeitigen Ausreise auch ohne die Hilfe eines familiären Auffangnetzes möglich und zumutbar.</w:t>
      </w:r>
    </w:p>
    <w:p>
      <w:r>
        <w:t>Der Beschwerdeführer widerspricht weiter den vorinstanzlichen Feststellungen nicht, wonach er in der Schweiz keine besonders intensiven, über eine normale Integration hinausgehenden Beziehungen pflege und hier keine Angehörigen habe. Ebenso unangefochten hält die Vorinstanz fest, er scheine in sprachlicher Hinsicht eher schlecht integriert und sei im vorliegenden Verfahren auf einen Dolmetscher angewiesen gewesen.</w:t>
      </w:r>
    </w:p>
    <w:p>
      <w:r>
        <w:t>Der Beschwerdeführer besuchte in Thailand die Schulen, absolvierte jedoch keine Berufsausbildung und ging in seiner Heimat keiner Erwerbstätigkeit nach, sondern wurde von seinem Vater unterstützt. In der Schweiz habe er rund acht Monate als Bauarbeiter gearbeitet, sei derzeit nicht arbeitstätig und betätige sich als Hausmann. Sein Partner sei Manager bei einem Bauunternehmen. Auch wenn diese Aufgabenteilung der Abmachung des Paares entsprechen mag und letztlich - wie von der Vorinstanz berücksichtigt - Privatsache ist, liegt dennoch keine eigenständige berufliche Integration des Beschwerdeführers vor. Seine Aussichten auf dem thailändischen Arbeitsmarkt präsentieren sich mithin nicht viel anders als in der Schweiz. Konkrete Gründe dafür, dass er in seiner Heimat keiner wirtschaftlichen Tätigkeit nachgehen könnte, nennt der Beschwerdeführer jedenfalls keine. Dass in der Schweiz allenfalls bessere wirtschaftliche Bedingungen vorherrschen, hindert die Landesverweisung nicht (vgl. Urteile 6B_1316/2023 vom 16. August 2024 E. 1.4.1; 6B_523/2023 vom 18. Oktober 2023 E. 1.5.4; je mit Hinweis). An dieser Einschätzung ändert nichts, dass der Beschwerdeführer in der Schweiz weder Schulden aufweist noch Sozialhilfe bezogen hat.</w:t>
      </w:r>
    </w:p>
    <w:p>
      <w:r>
        <w:rPr>
          <w:b/>
        </w:rPr>
        <w:t>E. 4.2</w:t>
      </w:r>
    </w:p>
    <w:p>
      <w:r>
        <w:t>Der Beschwerdeführer macht weiter geltend, sein Partner könne ihn nicht nach Thailand begleiten, weshalb das Familienleben im Falle einer Landesverweisung zerbrechen würde.</w:t>
      </w:r>
    </w:p>
    <w:p>
      <w:r>
        <w:rPr>
          <w:b/>
        </w:rPr>
        <w:t>E. 4.2.1</w:t>
      </w:r>
    </w:p>
    <w:p>
      <w:r>
        <w:t>Dem angefochtenen Urteil zufolge lebt der Beschwerdeführer seit seiner Einreise - und damit seit nunmehr über 10 Jahren - mit seinem Lebenspartner in einer eingetragenen Partnerschaft in der Schweiz. Eine derart lange, tatsächlich gelebte Beziehung fällt grundsätzlich in den Schutzbereich von Art. 8 Ziff. 1 EMRK . Vorbehältlich der Möglichkeit und Zumutbarkeit einer Ausreise des Partners (vgl. supra E. 2.3.5) würde die Landesverweisung demnach zu einer physischen Trennung des Paares - und damit zu einem schweren Eingriff in das Recht des Beschwerdeführers auf Achtung des Familienlebens - führen.</w:t>
      </w:r>
    </w:p>
    <w:p>
      <w:r>
        <w:t>Die Vorinstanz verneint eine Verletzung von Art. 8 Ziff. 1 EMRK aber mit der Argumentation, der Partner des Beschwerdeführers könne die Schweiz zusammen mit diesem verlassen. Sie begründet dies im Wesentlichen damit, der Beschwerdeführer habe nichts Gegenteiliges belegt.</w:t>
      </w:r>
    </w:p>
    <w:p>
      <w:r>
        <w:rPr>
          <w:b/>
        </w:rPr>
        <w:t>E. 4.2.2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146 IV 231 E. 2.6.1 mit Hinweis). Die Begründung ist insbesondere mangelhaft, wenn der angefochtene Entscheid jene tatsächlichen Feststellungen nicht trifft, die zur Überprüfung des eidgenössischen Rechts notwendig sind ( BGE 135 II 145 E. 8.2; Urteil 6B_855/2020 vom 25. Oktober 2021 E. 3.6.2; je mit Hinweisen).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 6B_140/2020 vom 3. Juni 2021 E. 5.3.2; je mit Hinweis).</w:t>
      </w:r>
    </w:p>
    <w:p>
      <w:r>
        <w:rPr>
          <w:b/>
        </w:rPr>
        <w:t>E. 4.2.3</w:t>
      </w:r>
    </w:p>
    <w:p>
      <w:r>
        <w:t>Die Vorinstanz unterlässt es in casu weitestgehend, Feststellungen betreffend den Partner (bzw. das Familienleben) des Beschwerdeführers zu treffen. Weder äussert sie sich zur Staatsangehörigkeit des Lebenspartners des Beschwerdeführers, noch klärt sie dessen Alter, Sprachkenntnisse oder familiäre, soziale, berufliche oder gesundheitliche Situation ab. Sie bezeichnet auch keinerlei Verbindungen des Partners des Beschwerdeführers zu Thailand. Vor diesem Hintergrund darf die Vorinstanz nicht ohne Weiteres auf die Möglichkeit und Zumutbarkeit einer gemeinsamen Ausreise erkennen (vgl. dazu auch Urteil 6B_1245/2021 vom 8. Juni 2022 E. 2.4.9). Dass sich das Paar, insbesondere der Beschwerdeführer, womöglich in irgendeinem - nicht näher bezeichneten - Drittstaat niederlassen könnte, ist eine reine Spekulation. Ein tatsächliches Einreise- und Aufenthaltsrecht für einen Drittstaat ist nicht belegt (vgl. dazu BGE 149 IV 231 E. 2.4).</w:t>
      </w:r>
    </w:p>
    <w:p>
      <w:r>
        <w:t>Nach dem Gesagten stellt die Vorinstanz das für die Beurteilung des schweren persönlichen Härtefalls - wie auch einer Interessenabwägung - erforderliche Tatsachenfundament nur ungenügend fest. Die vorinstanzliche Schlussfolgerung, wonach ein schwerer persönlicher Härtefall zu verneinen sei und eventualiter überwiegende öffentliche Interessen an der Landesverweisung bestünden, ist einer Überprüfung durch das Bundesgericht damit nicht zugänglich. Vorliegend sind die Voraussetzungen für eine Rückweisung gemäss Art. 112 Abs. 1 lit. b BGG i.V.m. Art. 112 Abs. 3 BGG erfüllt. Im neuen Entscheid wird die Vorinstanz alle für die Beurteilung der Landesverweisung relevanten Sachverhaltselemente umfassend abklären und die Landesverweisung neu beurteilen müssen.</w:t>
      </w:r>
    </w:p>
    <w:p>
      <w:r>
        <w:rPr>
          <w:b/>
        </w:rPr>
        <w:t>E. 5.1</w:t>
      </w:r>
    </w:p>
    <w:p>
      <w:r>
        <w:t>Die Beschwerde ist hinsichtlich der Landesverweisung gutzuheissen. Das angefochtene Urteil ist aufzuheben und die Sache im Sinne der Erwägungen an die Vorinstanz zurückzuweisen, damit sie einen Entscheid trifft, der den Anforderungen von Art. 112 Abs. 1 BGG genügt. Die Sache wird damit nicht präjudiziert, sodass auf eine Vernehmlassung verzichtet werden kann (vgl. Urteil 6B_460/2024 vom 13. September 2024 E. 4.3 mit Hinweisen; zur Publikation vorgesehen). Im Übrigen ist auf die Beschwerde nicht einzutreten.</w:t>
      </w:r>
    </w:p>
    <w:p>
      <w:r>
        <w:rPr>
          <w:b/>
        </w:rPr>
        <w:t>E. 5.2</w:t>
      </w:r>
    </w:p>
    <w:p>
      <w:r>
        <w:t>Insoweit der Beschwerdeführer obsiegt, erweist sich sein Gesuch um unentgeltliche Rechtspflege als gegenstandslos. Im Rahmen seines Unterliegens ist sein Gesuch zufolge Aussichtslosigkeit der Beschwerde abzuweisen ( Art. 64 Abs. 1 BGG ).</w:t>
      </w:r>
    </w:p>
    <w:p>
      <w:r>
        <w:t>Die Parteien werden im Umfang ihres Unterliegens grundsätzlich kosten- und entschädigungspflichtig (Art. 66 Abs. 1 und Art. 68 Abs. 1 sowie 2 BGG ). Der Beschwerdeführer ist vor Bundesgericht nicht anwaltlich vertreten, so dass ihm keine Parteientschädigung zulasten des Kantons Zürich zuzusprechen ist ( Art. 68 Abs. 2 BGG ; Urteile 6B_1305/2023 vom 17. März 2025 E. 8; 6B_105/2018 vom 22. August 2018 E. 6). Eine Umtriebsentschädigung wird nur bei "besonderen Verhältnissen" zugesprochen, die hier nicht gegeben sind (Urteile 6B_1305/2023 vom 17. März 2025 E. 8; 6B_957/2018 vom 21. November 2018 E. 3.5). Soweit der Beschwerdeführer unterliegt, hat er für die Kosten des bundesgerichtlichen Verfahrens aufzukommen ( Art. 66 Abs. 1 BGG ). Seiner finanziellen Situation ist mit einer reduzierten Gerichtsgebühr Rechnung zu tragen. Der Kanton Zürich trägt keine Gerichtskosten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