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74/2010 vom 26. Februar 2010</w:t>
      </w:r>
    </w:p>
    <w:p>
      <w:r>
        <w:t>Bundesgericht, 2010-02-26, FR</w:t>
      </w:r>
    </w:p>
    <w:p>
      <w:r>
        <w:rPr>
          <w:b/>
        </w:rPr>
        <w:t xml:space="preserve">Quelle: </w:t>
      </w:r>
      <w:r>
        <w:t>https://mcp.opencaselaw.ch/entscheid/bger_6B_74_2010</w:t>
      </w:r>
    </w:p>
    <w:p>
      <w:r>
        <w:t>FR: TF 6B 74/2010 du 26 février 2010</w:t>
      </w:r>
    </w:p>
    <w:p>
      <w:r>
        <w:t>IT: TF 6B 74/2010 del 26 febbraio 2010</w:t>
      </w:r>
    </w:p>
    <w:p>
      <w:pPr>
        <w:pStyle w:val="Heading2"/>
      </w:pPr>
      <w:r>
        <w:t>Regeste</w:t>
      </w:r>
    </w:p>
    <w:p>
      <w:r>
        <w:t>Libération conditionnelle | Exécution des peines et des mesures</w:t>
      </w:r>
    </w:p>
    <w:p>
      <w:pPr>
        <w:pStyle w:val="Heading2"/>
      </w:pPr>
      <w:r>
        <w:t>Erwägungen</w:t>
      </w:r>
    </w:p>
    <w:p>
      <w:r>
        <w:rPr>
          <w:b/>
        </w:rPr>
        <w:t>E. 1</w:t>
      </w:r>
    </w:p>
    <w:p>
      <w:r>
        <w:t>Le recourant se plaint de violations de son droit d'être entendu, tel que garanti aux art. 29 al. 2 Cst. et 6 CEDH.</w:t>
      </w:r>
    </w:p>
    <w:p>
      <w:r>
        <w:rPr>
          <w:b/>
        </w:rPr>
        <w:t>E. 1.1</w:t>
      </w:r>
    </w:p>
    <w:p>
      <w:r>
        <w:t>En premier lieu, il reproche à l'arrêt attaqué de ne faire aucune allusion au mémoire personnel ("mémorandum") qu'il a adressé à la cour cantonale durant la procédure d'appel. La jurisprudence déduit du droit d'être entendu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Elle n'a pas l'obligation d'exposer et de discuter tous les arguments des parties ( ATF 133 III 439 consid. 3.3 p. 445; 130 II 530 consid. 4.3 p. 540). En l'espèce, l'arrêt attaqué énonce les raisons pour lesquelles il confirme le refus de libération conditionnelle. Il satisfait dès lors aux exigences de motivation découlant du droit d'être entendu, même s'il ne mentionne pas le "mémorandum" du recourant.</w:t>
      </w:r>
    </w:p>
    <w:p>
      <w:r>
        <w:rPr>
          <w:b/>
        </w:rPr>
        <w:t>E. 1.2</w:t>
      </w:r>
    </w:p>
    <w:p>
      <w:r>
        <w:t>En second lieu, le recourant fait grief à l'arrêt attaqué de rejeter ses réquisitions tendant à l'audition de deux témoins, dont il soutient que les déclarations auraient prouvé qu'il n'est pas dangereux. Dans sa composante de droit à l'administration des preuves, le droit d'être entendu confère à tout intéressé la faculté d'obtenir qu'il soit donné suite à ses réquisitions tendant à l'administration de preuves utiles portant sur des faits pertinents ( ATF 129 II 497 consid. 2.2 p. 504 s.; 127 I 54 consid. 2b p. 56; 127 III 576 consid. 2c p. 578 et la jurisprudence citée). Ce droit ne porte toutefois que sur des preuves licites. Il ne permet pas, en particulier, d'obliger à témoigner des fonctionnaires que leur hiérarchie refuse définitivement de délier du secret de fonction. En l'espèce, en rejetant la réquisition litigieuse au motif, notamment, que les témoins désignés sont des fonctionnaires auxquels l'autorité administrative compétente refuse l'autorisation de déposer, l'arrêt attaqué ne viole pas le droit d'être entendu du recourant. Le recours, mal fondé, doit dès lors être rejeté.</w:t>
      </w:r>
    </w:p>
    <w:p>
      <w:r>
        <w:rPr>
          <w:b/>
        </w:rPr>
        <w:t>E. 2</w:t>
      </w:r>
    </w:p>
    <w:p>
      <w:r>
        <w:t>Comme il est apparu d'emblée que ses conclusions étaient vouées à l'échec, le recourant doit être débouté de sa demande d'assistance judiciaire ( art. 64 al. 1 LTF a contrario) et supporter les frais de justice, réduits à 800 fr. pour tenir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