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6B_747/2021 vom 5. Juli 2021</w:t>
      </w:r>
    </w:p>
    <w:p>
      <w:r>
        <w:t>Bundesgericht, 2021-07-05, DE</w:t>
      </w:r>
    </w:p>
    <w:p>
      <w:r>
        <w:rPr>
          <w:b/>
        </w:rPr>
        <w:t xml:space="preserve">Quelle: </w:t>
      </w:r>
      <w:r>
        <w:t>https://mcp.opencaselaw.ch/entscheid/bger_6B_747_2021</w:t>
      </w:r>
    </w:p>
    <w:p>
      <w:r>
        <w:t>FR: TF 6B_747/2021 du 5 juillet 2021</w:t>
      </w:r>
    </w:p>
    <w:p>
      <w:r>
        <w:t>IT: TF 6B_747/2021 del 5 luglio 2021</w:t>
      </w:r>
    </w:p>
    <w:p>
      <w:pPr>
        <w:pStyle w:val="Heading2"/>
      </w:pPr>
      <w:r>
        <w:t>Erwägungen</w:t>
      </w:r>
    </w:p>
    <w:p>
      <w:r>
        <w:rPr>
          <w:b/>
        </w:rPr>
        <w:t>E. 1</w:t>
      </w:r>
    </w:p>
    <w:p>
      <w:r>
        <w:t>Der Beschwerdeführer erstattete am 22. Februar 2021 Strafanzeige gegen einen Regionalrichter, einen ehemaligen Oberrichter und zwei amtierende Oberrichter des Kantons Bern wegen Amtsmissbrauchs. Er bezog sich dabei auf eine Verfügung des Regionalgerichts und einen Entscheid des Obergerichts des Kantons Bern in einem Zivilverfahren, an welchen die Angezeigten mitgewirkt hatten. Die kantonale Staatsanwaltschaft für besondere Aufgaben nahm eine Untersuchung am 9. April 2021 nicht an die Hand. Eine dagegen gerichtete Beschwerde wies das Obergericht des Kantons, Beschwerdekammer in Strafsachen, ab, soweit es darauf eintrat. Der Beschwerdeführer wendet sich an das Bundesgericht.</w:t>
      </w:r>
    </w:p>
    <w:p>
      <w:r>
        <w:rPr>
          <w:b/>
        </w:rPr>
        <w:t>E. 2</w:t>
      </w:r>
    </w:p>
    <w:p>
      <w:r>
        <w:t>Anfechtungsobjekt ist alleine der angefochtene Beschluss ( Art. 80 Abs. 1 BGG ). Nicht zu hören ist der Beschwerdeführer mit Anträgen, Rügen und Vorbringen, die ausserhalb des durch den vorinstanzlichen Beschluss begrenzten Streitgegenstands liegen.</w:t>
      </w:r>
    </w:p>
    <w:p>
      <w:r>
        <w:rPr>
          <w:b/>
        </w:rPr>
        <w:t>E. 3</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je mit Hinweisen).</w:t>
      </w:r>
    </w:p>
    <w:p>
      <w:r>
        <w:t>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4</w:t>
      </w:r>
    </w:p>
    <w:p>
      <w:r>
        <w:t>Der Beschwerdeführer zeigt nicht auf, dass und inwiefern ihm gegenüber den angezeigten Personen Schadenersatz- oder Genugtuungsansprüche im Sinne von Art. 41 ff. OR zustehen könnten. Der Kanton Bern haftet für den Schaden, den Mitarbeiter in Ausübung ihrer amtlichen Tätigkeit Dritten widerrechtlich zugefügt haben (Art. 100 Abs. 1 des Personalgesetzes des Kantons Bern vom 16. September 2004 [PG/BE]). Die verantwortlichen Personen können von Dritten nicht belangt werden ( Art. 102 Abs. 1 PG /BE). Schadenersatz- oder Genugtuungsansprüche des Beschwerdeführers gegen die angezeigten Personen sind bereits deshalb nicht ersichtlich. Dass einer der Angezeigten nicht mehr als Oberrichter amtiert, ändert daran nichts. Der Beschwerdeführer ist in der Sache mangels Zivilforderungen folglich nicht im Sinne von Art. 81 Abs. 1 lit. b Ziff. 5 BGG zur Beschwerde in Strafsachen legitimiert.</w:t>
      </w:r>
    </w:p>
    <w:p>
      <w:r>
        <w:rPr>
          <w:b/>
        </w:rPr>
        <w:t>E. 5</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t>Solche formellen Rügen erhebt der Beschwerdeführer nicht. Dieser rügt zwar Rechtsverweigerung und eine Verletzung seines Anspruchs auf rechtliches Gehör, weil seine Beweisanträge abgewiesen worden seien (Beschwerde S. 4). Die Kritik des Beschwerdeführers zielt indes, wie auch seine übrigen Vorbringen, auf die Rechtmässigkeit der Nichtanhandnahme und damit auf eine Überprüfung in der Sache selbst ab, was unzulässig ist.</w:t>
      </w:r>
    </w:p>
    <w:p>
      <w:r>
        <w:rPr>
          <w:b/>
        </w:rPr>
        <w:t>E. 6</w:t>
      </w:r>
    </w:p>
    <w:p>
      <w:r>
        <w:t>Auf die Beschwerde ist im Verfahren nach Art. 108 BGG nicht einzutreten. Ein Anspruch auf Entschädigung besteht nicht. 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