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6B_747/2012 vom 7. Februar 2014</w:t>
      </w:r>
    </w:p>
    <w:p>
      <w:r>
        <w:t>Bundesgericht, 2014-02-07, FR</w:t>
      </w:r>
    </w:p>
    <w:p>
      <w:r>
        <w:rPr>
          <w:b/>
        </w:rPr>
        <w:t xml:space="preserve">Quelle: </w:t>
      </w:r>
      <w:r>
        <w:t>https://mcp.opencaselaw.ch/entscheid/bger_6B_747_2012</w:t>
      </w:r>
    </w:p>
    <w:p>
      <w:r>
        <w:t>FR: TF 6B_747/2012 du 7 février 2014</w:t>
      </w:r>
    </w:p>
    <w:p>
      <w:r>
        <w:t>IT: TF 6B_747/2012 del 7 febbraio 2014</w:t>
      </w:r>
    </w:p>
    <w:p>
      <w:pPr>
        <w:pStyle w:val="Heading2"/>
      </w:pPr>
      <w:r>
        <w:t>Erwägungen</w:t>
      </w:r>
    </w:p>
    <w:p>
      <w:r>
        <w:rPr>
          <w:b/>
        </w:rPr>
        <w:t>E. 1</w:t>
      </w:r>
    </w:p>
    <w:p>
      <w:r>
        <w:t>La demande de la recourante tendant à l'annulation de la poursuite N° yyy de l'Office des poursuites et faillites de la Veveyse outrepasse l'objet du litige circonscrit par l'arrêt attaqué (cf. art. 80 al. 1 LTF ), de sorte qu'elle est irrecevable.</w:t>
      </w:r>
    </w:p>
    <w:p>
      <w:r>
        <w:rPr>
          <w:b/>
        </w:rPr>
        <w:t>E. 2</w:t>
      </w:r>
    </w:p>
    <w:p>
      <w:r>
        <w:t>La recourante invoque la violation de son droit d'être entendue pour le motif que les voies de droit n'étaient pas indiquées par le jugement de première instance. Cette absence des voies de droit n'a eu aucune incidence dès lors que la recourante a pu valablement interjeter un recours cantonal.</w:t>
      </w:r>
    </w:p>
    <w:p>
      <w:r>
        <w:rPr>
          <w:b/>
        </w:rPr>
        <w:t>E. 3.1</w:t>
      </w:r>
    </w:p>
    <w:p>
      <w:r>
        <w:t>La recourante conteste tout retrait d'opposition à l'ordonnance pénale du 6 octobre 2011. Elle fait valoir qu'elle avait communiqué son incapacité à comparaître à l'audience du 30 août 2012 dont elle avait demandé le renvoi, après avoir sollicité le droit d'être dispensée de comparution personnelle et de se faire représenter. En particulier, elle reproche à la cour cantonale de lui opposer de ne pas s'y être fait représenter, alors que le premier juge lui en a expressément dénié le droit.</w:t>
      </w:r>
    </w:p>
    <w:p>
      <w:r>
        <w:rPr>
          <w:b/>
        </w:rPr>
        <w:t>E. 3.2</w:t>
      </w:r>
    </w:p>
    <w:p>
      <w:r>
        <w:t>Lorsque des autorités administratives sont instituées en vue de la poursuite et du jugement des contraventions, elles ont les attributions du ministère public ( art. 357 al. 1 CPP ). Les dispositions sur l'ordonnance pénale sont applicables par analogie à la procédure pénale en matière de contraventions ( art. 357 al. 2 CPP ).</w:t>
      </w:r>
    </w:p>
    <w:p>
      <w:r>
        <w:rPr>
          <w:b/>
        </w:rPr>
        <w:t>E. 3.3</w:t>
      </w:r>
    </w:p>
    <w:p>
      <w:r>
        <w:t>En cas d'opposition à une ordonnance pénale, le ministère public administre les autres preuves nécessaires au jugement de l'opposition ( art. 355 al. 1 CPP ). Après l'administration des preuves, le ministère public décide (a.) de maintenir l'ordonnance pénale, (b.) de classer la procédure, (c.) de rendre une nouvelle ordonnance pénale ou (d.) de porter l'accusation devant le tribunal de première instance ( art. 355 al. 3 CPP ). Lorsqu'il décide de maintenir l'ordonnance pénale, le ministère public transmet sans retard le dossier au tribunal de première instance en vue des débats. L'ordonnance pénale tient lieu d'acte d'accusation ( art. 356 al. 1 CPP ). Si l'opposant fait défaut aux débats sans être excusé et sans se faire représenter, son opposition est réputée retirée ( art. 356 al. 4 CPP ). Est excusé, l'opposant qui est dispensé de comparaître conformément à l' art. 336 al. 3 CPP (Franz Riklin, in Basler Kommentar, 2011, n° 5 ad art. 356 CPP ).</w:t>
      </w:r>
    </w:p>
    <w:p>
      <w:r>
        <w:t>Selon l' art. 336 al. 3 CPP , la direction de la procédure peut dispenser le prévenu, à sa demande, de comparaître en personne lorsqu'il fait valoir des motifs importants et que sa présence n'est pas indispensable. Pour être dispensé, le prévenu doit se prévaloir d'un empêchement majeur tel que la maladie ou un domicile à l'étranger, cela pour autant que la comparution lui occasionne des frais disproportionnés en comparaison de l'importance de la cause (Pierre-Henri Winzap, in Commentaire romand, Code de procédure pénale suisse, 2011, n° 2 ad art. 336 CPP ). De simples obligations professionnelles ne suffisent pas (Peter-René Wyder, in Basler Kommentar, 2011, n° 17 ad art. 336 CPP ).</w:t>
      </w:r>
    </w:p>
    <w:p>
      <w:r>
        <w:t>A l'appui de sa demande de dispense de comparution personnelle à l'audience du 30 août 2012, la recourante a invoqué, sans autre développement, «</w:t>
      </w:r>
    </w:p>
    <w:p>
      <w:r>
        <w:t>ses activités le matin de ce même jour ». En tant que telle, pareille motivation n'établit pas l'existence d'un empêchement majeur au sens précité. Il incombait à la recourante d'établir précisément le motif de son absence. En se bornant à invoquer un motif aussi sibyllin, elle n'a pas rendu plausible l'existence d'un empêchement important. C'est par conséquent à juste titre que le Tribunal de police a considéré qu'aucun motif valable n'étayait sa demande de dispense de comparution personnelle.</w:t>
      </w:r>
    </w:p>
    <w:p>
      <w:r>
        <w:t>En outre, comme le Tribunal de police avait exigé la présence de la recourante à l'audience, elle ne pouvait pas s'abstenir de comparaître en se faisant représenter (cf. Message du 21 décembre 2005 relatif à l'unification du droit de la procédure pénale, FF 1057 ss, 1275, ad art. 360 du projet; CHRISTIAN SCHWARZENEGGER, in Kommentar zur Schweizerischen Strafprozessordnung, 2010, n° 3 ad art. 356 CP ). Il en découle que la présence d'un représentant ne l'aurait pas affranchie de la nécessité de fournir un juste motif à sa non-comparution (cf. arrêt 6B_592/2012 du 11 février 2013 consid. 3.3; NIKLAUS SCHMID, Schweizerische Strafprozessordnung, Praxiskommentar, 2</w:t>
      </w:r>
    </w:p>
    <w:p>
      <w:r>
        <w:t>e éd. 2013, n° 5 ad art. 356 CPP ). C'est ainsi en vain qu'elle se plaint de n'avoir pas été habilitée à se faire représenter. Il est vrai que la motivation de l'arrêt attaqué (p. 5) est inadéquate dès lors qu'elle laisse entendre que la recourante aurait dû comparaître en personne à l'audience ou s'y faire représenter. Or, comme indiqué ci-dessus, dès lors que le Tribunal de police avait ordonné sa comparution, la seule présence d'un représentant n'était plus suffisante.</w:t>
      </w:r>
    </w:p>
    <w:p>
      <w:r>
        <w:t>La solution du Tribunal de police qui a considéré l'opposition comme réputée retirée en vertu de l' art. 356 al. 4 CPP ne viole pas le droit fédéral, de sorte que le rejet du recours par la cour cantonale échappe à la critique, nonobstant la motivation de son arrêt. Le grief se révèle mal fondé.</w:t>
      </w:r>
    </w:p>
    <w:p>
      <w:r>
        <w:rPr>
          <w:b/>
        </w:rPr>
        <w:t>E. 4</w:t>
      </w:r>
    </w:p>
    <w:p>
      <w:r>
        <w:t>Le recours peut avoir été dicté par la motivation inadéquate de l'arrêt attaqué. Il y a ainsi lieu d'admettre la requête d'assistance judiciaire dès lors que la situation économique de la recourante le justifie ( art. 64 al. 1 LTF ) et de statuer sans frais ( art. 66 al. 1 LTF ). La recourante, qui agit seule,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