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746/2015 vom 12. August 2015</w:t>
      </w:r>
    </w:p>
    <w:p>
      <w:r>
        <w:t>Bundesgericht, 2015-08-12, DE</w:t>
      </w:r>
    </w:p>
    <w:p>
      <w:r>
        <w:rPr>
          <w:b/>
        </w:rPr>
        <w:t xml:space="preserve">Quelle: </w:t>
      </w:r>
      <w:r>
        <w:t>https://mcp.opencaselaw.ch/entscheid/bger_6B_746_2015</w:t>
      </w:r>
    </w:p>
    <w:p>
      <w:r>
        <w:t>FR: TF 6B 746/2015 du 12 août 2015</w:t>
      </w:r>
    </w:p>
    <w:p>
      <w:r>
        <w:t>IT: TF 6B 746/2015 del 12 agosto 2015</w:t>
      </w:r>
    </w:p>
    <w:p>
      <w:pPr>
        <w:pStyle w:val="Heading2"/>
      </w:pPr>
      <w:r>
        <w:t>Regeste</w:t>
      </w:r>
    </w:p>
    <w:p>
      <w:r>
        <w:t>Nichtanhandnahme | Strafprozess</w:t>
      </w:r>
    </w:p>
    <w:p>
      <w:pPr>
        <w:pStyle w:val="Heading2"/>
      </w:pPr>
      <w:r>
        <w:t>Erwägungen</w:t>
      </w:r>
    </w:p>
    <w:p>
      <w:r>
        <w:rPr>
          <w:b/>
        </w:rPr>
        <w:t>E. 1</w:t>
      </w:r>
    </w:p>
    <w:p>
      <w:r>
        <w:t>Die Staatsanwaltschaft Zürich-Sihl nahm am 25. März 2014 eine Strafanzeige gegen Unbekannt wegen Betrugs nicht an die Hand. Dagegen reichte der Beschwerdeführer sinngemäss eine Beschwerde ein. Das Obergericht des Kantons Zürich trat mit Beschluss vom 30. Juni 2015 auf das Rechtsmittel nicht ein. Gegen diesen Beschluss wendet sich der Beschwerdeführer ans Bundesgericht und beantragt sinngemäss, der Entscheid sei aufzuheben. Die Vorinstanz trat auf das Rechtsmittel nicht ein, weil der Beschwerdeführer dessen Frist von zehn Tagen nicht eingehalten hatte (Beschluss S. 4/5 E. 4.2). Mit der Frage der Fristwahrung befasst sich der Beschwerdeführer in seiner Eingabe vor Bundesgericht nicht. Folglich genügt seine Eingabe den Anforderungen von Art. 42 Abs. 2 BGG nicht, wonach sich aus der Begründung ergeben muss, aus welchem Grund der angefochtene Entscheid nach Auffassung des Beschwerdeführers gegen das Recht verstossen soll. Nachdem es gestützt auf die Haupterwägung der Vorinstanz beim angefochtenen Entscheid sein Bewenden hat, befasst sich das Bundesgericht mit der Eventualerwägung der Vorinstanz und mit der materiellen Seite der Angelegenheit nicht. Auf die Beschwerde ist im Verfahren nach Art. 108 BGG nicht einzutreten.</w:t>
      </w:r>
    </w:p>
    <w:p>
      <w:r>
        <w:rPr>
          <w:b/>
        </w:rPr>
        <w:t>E. 2</w:t>
      </w:r>
    </w:p>
    <w:p>
      <w:r>
        <w:t>Die Gerichtskosten sind dem Beschwerdeführer aufzuerlegen ( Art. 66 Abs. 1 BGG ). Soweit er geltend macht, er sei nicht in der Lage, Kosten zu bezahlen (Beschwerde S. 4), ist das Vorbringen als Gesuch um unentgeltliche Rechtspflege zu behandeln. Das Gesuch ist indessen in Anwendung von Art. 64 BGG abzuweisen, weil die Rechtsbegehren aussichtslos erschienen. Da der Beschwerdeführer seine angebliche Bedürftigkeit nicht belegt,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