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744/2014 vom 5. Mai 2015</w:t>
      </w:r>
    </w:p>
    <w:p>
      <w:r>
        <w:t>Bundesgericht, 2015-05-05, DE</w:t>
      </w:r>
    </w:p>
    <w:p>
      <w:r>
        <w:rPr>
          <w:b/>
        </w:rPr>
        <w:t xml:space="preserve">Quelle: </w:t>
      </w:r>
      <w:r>
        <w:t>https://mcp.opencaselaw.ch/entscheid/bger_6B_744_2014</w:t>
      </w:r>
    </w:p>
    <w:p>
      <w:r>
        <w:t>FR: TF 6B 744/2014 du 5 mai 2015</w:t>
      </w:r>
    </w:p>
    <w:p>
      <w:r>
        <w:t>IT: TF 6B 744/2014 del 5 maggio 2015</w:t>
      </w:r>
    </w:p>
    <w:p>
      <w:pPr>
        <w:pStyle w:val="Heading2"/>
      </w:pPr>
      <w:r>
        <w:t>Regeste</w:t>
      </w:r>
    </w:p>
    <w:p>
      <w:r>
        <w:t>Rechtliches Gehör (Verpflichtung zur Rückzahlung der Kosten für die amtliche Verteidigung) | Strafprozess</w:t>
      </w:r>
    </w:p>
    <w:p>
      <w:pPr>
        <w:pStyle w:val="Heading2"/>
      </w:pPr>
      <w:r>
        <w:t>Erwägungen</w:t>
      </w:r>
    </w:p>
    <w:p>
      <w:r>
        <w:rPr>
          <w:b/>
        </w:rPr>
        <w:t>E. 1.1</w:t>
      </w:r>
    </w:p>
    <w:p>
      <w:r>
        <w:t>Der Beschwerdeführer rügt eine Verletzung seines rechtlichen Gehörs. Er sei in Anwendung von Art. 135 Abs. 4 StPO zur Rückzahlung der Kosten für seine amtliche Verteidigung verurteilt worden, ohne dass dies im Urteil begründet werde. Die Rückerstattungspflicht gehe einzig aus dem Urteilsdispositiv hervor. Die Vorinstanz hätte nachvollziehbar darlegen müssen, inwiefern seine aktuellen wirtschaftlichen Verhältnisse es erlauben würden, die fragliche Entschädigung zurückzuzahlen. Dies habe sie unterlassen. Im Übrigen sei ihm die Rückzahlungspflicht auch materiell zu Unrecht auferlegt worden. Sein momentanes Einkommen lasse eine Rückerstattung der Verteidigungskosten nicht zu.</w:t>
      </w:r>
    </w:p>
    <w:p>
      <w:r>
        <w:rPr>
          <w:b/>
        </w:rPr>
        <w:t>E. 1.2.1</w:t>
      </w:r>
    </w:p>
    <w:p>
      <w:r>
        <w:t>Aufgrund der aus dem Anspruch auf rechtliches Gehör ( Art. 29 Abs. 2 BV ) fliessenden Begründungspflicht ( Art. 81 Abs. 3 lit. a StPO ) ist das Gericht gehalten, sein Urteil zu begründen.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1.2.2</w:t>
      </w:r>
    </w:p>
    <w:p>
      <w:r>
        <w:t>Dem angefochtenen Urteil ist nicht zu entnehmen, aus welchen Gründen und gestützt auf welche Unterlagen die Vorinstanz den Beschwerdeführer dazu verpflichtet, ihr die Kosten für seine amtliche Verteidigung zurückzuzahlen. Aufgrund der mangelhaften Begründung kann das Bundesgericht die Rechtmässigkeit dieser Verpflichtung nicht überprüfen. Die Rüge des Beschwerdeführers erweist sich als zutreffend. Das vorinstanzliche Urteil ist ungenügend begründet und verletzt sein rechtliches Gehör. Daran vermögen auch die Ausführungen der Vorinstanz in ihrer Vernehmlassung nichts zu ändern. Eine Heilung der vorliegenden Verletzung des rechtlichen Gehörs kommt im bundesgerichtlichen Verfahren nicht in Betracht (vgl. BGE 137 I 195 E. 2.3.2 mit Hinweisen).</w:t>
      </w:r>
    </w:p>
    <w:p>
      <w:r>
        <w:rPr>
          <w:b/>
        </w:rPr>
        <w:t>E. 1.3</w:t>
      </w:r>
    </w:p>
    <w:p>
      <w:r>
        <w:t>Die Beschwerde ist gutzuheissen. Ziffer IV. Abs. 14 des angefochtenen Urteils ist in Bezug auf die Verpflichtung des Beschwerdeführers zur Rückerstattung der Kosten für die amtliche Verteidigung aufzuheben und die Sache zur neuen Entscheidung an die Vorinstanz zurückzuweisen. Die Vorinstanz wird zu begründen haben, weshalb sie die entsprechenden Voraussetzungen als gegeben erachtet und insbesondere auch prüfen müssen, ob ihr Entscheid sich mit seinen finanziellen Verhältnissen bzw. der aktuellen diesbezüglichen Beweislage vereinbaren lässt.</w:t>
      </w:r>
    </w:p>
    <w:p>
      <w:r>
        <w:rPr>
          <w:b/>
        </w:rPr>
        <w:t>E. 2</w:t>
      </w:r>
    </w:p>
    <w:p>
      <w:r>
        <w:t>Bei diesem Ausgang des Verfahrens sind keine Kosten zu erheben ( Art. 66 Abs. 4 BGG ). Der Kanton Basel-Stadt hat dem Beschwerdeführer eine angemessene Parteientschädigung auszurichten ( Art. 68 BGG ). Damit wird sein Gesuch um unentgeltliche Rechtspflege gegenstandslos. Praxisgemäss ist die Parteientschädigung dem Rechtsvertreter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