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6B_742/2021 vom 21. Juli 2021</w:t>
      </w:r>
    </w:p>
    <w:p>
      <w:r>
        <w:t>Bundesgericht, 2021-07-21, DE</w:t>
      </w:r>
    </w:p>
    <w:p>
      <w:r>
        <w:rPr>
          <w:b/>
        </w:rPr>
        <w:t xml:space="preserve">Quelle: </w:t>
      </w:r>
      <w:r>
        <w:t>https://mcp.opencaselaw.ch/entscheid/bger_6B_742_2021</w:t>
      </w:r>
    </w:p>
    <w:p>
      <w:r>
        <w:t>FR: TF 6B_742/2021 du 21 juillet 2021</w:t>
      </w:r>
    </w:p>
    <w:p>
      <w:r>
        <w:t>IT: TF 6B_742/2021 del 21 luglio 2021</w:t>
      </w:r>
    </w:p>
    <w:p>
      <w:pPr>
        <w:pStyle w:val="Heading2"/>
      </w:pPr>
      <w:r>
        <w:t>Erwägungen</w:t>
      </w:r>
    </w:p>
    <w:p>
      <w:r>
        <w:rPr>
          <w:b/>
        </w:rPr>
        <w:t>E. 1</w:t>
      </w:r>
    </w:p>
    <w:p>
      <w:r>
        <w:t>Nach Strafanzeigen vom 12. Dezember 2019 und 6. August 2020 nahm die Staatsanwaltschaft Abteilung 1 Luzern eine Strafuntersuchung mit Verfügung vom 11. März 2021 nicht an die Hand. Die Vorinstanz trat am 6. Mai 2021 auf eine dagegen gerichtete Beschwerde nicht ein, weil sie den Begründungsanforderungen nicht genügte ( Art. 385 Abs. 1 StPO ). Dagegen wendet sich der Beschwerdeführer mit Beschwerde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StPO an die Beschwerdebegründung nicht auseinander. Stattdessen äussert er sich zu allerlei Dingen, die nicht Thema der angefochtenen Verfügung bilden und womit sich das Bundesgericht folglich nicht befassen kann. Seine Vorbringen, die Ablehnung des Fristersteckungsgesuchs vom 16. April 2021 und das Nichteintreten auf seine zweite Beschwerdeschrift infolge Verspätung seien "möglicherweise gravierende Fehler" der Vorinstanz und unzulässig, weil zwei Kanzleimitarbeitende seinen telefonischen Gesuchen (nach angeblichen Rücksprachen mit dem Gerichtspräsidenten) entsprochen hätten, erschöpfen sich in blossen unbelegten Behauptungen. Sollte der Beschwerdeführer mit seinen Ausführungen eine Verletzung des Vertrauensschutzes rügen wollen, wären die strengen Anforderungen an die Begründung von Grundrechtsverletzungen nicht erfüllt. Inwiefern die vorinstanzliche Nichteintretensverfügung verfassungs- oder sonstwie bundesrechtswidrig sein könnte, ist gestützt auf die Beschwerde nicht ersichtlich. Der Begründungsmangel ist offensichtlich. Auf die Beschwerde ist im Verfahren nach Art. 108 BGG mangels tauglicher Begründung nicht einzutreten.</w:t>
      </w:r>
    </w:p>
    <w:p>
      <w:r>
        <w:rPr>
          <w:b/>
        </w:rPr>
        <w:t>E. 4</w:t>
      </w:r>
    </w:p>
    <w:p>
      <w:r>
        <w:t>Bei diesem Ausgang des Verfahrens trägt der Beschwerdeführer die Gerichtskosten ( Art. 66 Abs. 1 BGG ). Die Gesuche um unentgeltliche Rechtspflege sind wegen Aussichtslosigkeit abzuweisen.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