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6B_742/2020 vom 19. November 2020</w:t>
      </w:r>
    </w:p>
    <w:p>
      <w:r>
        <w:t>Bundesgericht, 2020-11-19, FR</w:t>
      </w:r>
    </w:p>
    <w:p>
      <w:r>
        <w:rPr>
          <w:b/>
        </w:rPr>
        <w:t xml:space="preserve">Quelle: </w:t>
      </w:r>
      <w:r>
        <w:t>https://mcp.opencaselaw.ch/entscheid/bger_6B_742_2020</w:t>
      </w:r>
    </w:p>
    <w:p>
      <w:r>
        <w:t>FR: TF 6B_742/2020 du 19 novembre 2020</w:t>
      </w:r>
    </w:p>
    <w:p>
      <w:r>
        <w:t>IT: TF 6B_742/2020 del 19 novembre 2020</w:t>
      </w:r>
    </w:p>
    <w:p>
      <w:pPr>
        <w:pStyle w:val="Heading2"/>
      </w:pPr>
      <w:r>
        <w:t>Erwägungen</w:t>
      </w:r>
    </w:p>
    <w:p>
      <w:r>
        <w:rPr>
          <w:b/>
        </w:rPr>
        <w:t>E. 1.1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w:t>
      </w:r>
    </w:p>
    <w:p>
      <w:r>
        <w:t>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plus récemment: arrêt 6B_688/2020 du 15 octobre 2020 consid. 1.1 et les références citées). Le Tribunal fédéral ne revoit par conséquent cette question que sous l'angle de l'arbitraire ( ATF 130 IV 72 consid. 1 p. 73; arrêt 6B_1110/2019 du 18 décembre 2019 consid. 1.1.2 et les références citées).</w:t>
      </w:r>
    </w:p>
    <w:p>
      <w:r>
        <w:rPr>
          <w:b/>
        </w:rPr>
        <w:t>E. 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6B_813/2020 du 22 juillet 2020 consid. 1.1), ou encore lorsque la demande de révision apparaît abusive (arrêt 6B_813/2020 précité consid. 1.1 et les références citées).</w:t>
      </w:r>
    </w:p>
    <w:p>
      <w:r>
        <w:rPr>
          <w:b/>
        </w:rPr>
        <w:t>E. 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1.4</w:t>
      </w:r>
    </w:p>
    <w:p>
      <w:r>
        <w:t>La cour cantonale a retenu que « l'attestation » produite par le recourant apparaissait d'emblée douteuse. S'agissant de sa forme, le texte avait été rédigé sur un ordinateur, tandis que la signature était manuscrite. La date qui y figurait avait, quant à elle, été ajoutée à l'aide d'un tampon, pratique commune dans le cadre d'une activité de bureau mais bien moins usuelle pour un particulier. Ces éléments suffisaient à soulever un doute quant aux circonstances de son établissement dans la mesure où le signataire ne semblait pas être l'auteur du texte ni celui de l'apposition de la date, laquelle avait pu être ajoutée postérieurement à la signature du document. Mais encore, si la signature apposée au bas de ce document ressemblait effectivement à celle du témoin, rien ne permettait de certifier son authenticité, une simple comparaison avec celles figurant aux procès-verbaux versés à la procédure ne suffisant évidemment pas pour ce faire. Rien ne permettait donc de confirmer que B.________ était bien l'auteur de cette « attestation » et qu'elle avait effectivement été signée le 14 janvier 2020.</w:t>
      </w:r>
    </w:p>
    <w:p>
      <w:r>
        <w:t>La cour cantonale a encore indiqué qu'au-delà de ce document, il fallait relever que B.________ avait toujours été constant, cohérent et précis dans ses déclarations lors de ses auditions et n'avait pas hésité à les maintenir devant le conseil du recourant. Et surtout, ses explications avaient été corroborées par les éléments du dossier, notamment les observations policières, les stupéfiants saisis et les circonstances de l'interpellation du recourant. Cette soudaine rétractation écrite, indépendamment de son signataire, apparaissait être de complaisance et rédigée pour les besoins de la cause. Il était dès lors superflu d'examiner les circonstances de la signature de ce document ou de vérifier son authenticité. La pièce produite ne constituait donc pas un moyen de preuve sérieux, qui fût propre à ébranler les constatations de fait sur lesquelles se fondait l'arrêt du 13 mars 2019. La demande de révision était par conséquent manifestement infondée et donc irrecevable.</w:t>
      </w:r>
    </w:p>
    <w:p>
      <w:r>
        <w:rPr>
          <w:b/>
        </w:rPr>
        <w:t>E. 1.5</w:t>
      </w:r>
    </w:p>
    <w:p>
      <w:r>
        <w:t>Le recourant se limite, dans un premier moyen, à présenter sa propre appréciation de la pièce en question. Il en va ainsi lorsqu'il soutient qu'il est usuel d'avoir un texte rédigé à l'ordinateur et une signature manuscrite. En outre, il indique que la date qui y figure à l'aide d'un tampon humide serait celle que son conseil aurait apposée à réception du document, pratique largement répandue. Il introduit de la sorte des faits non constatés, sans pour autant former un grief recevable selon l' art. 106 al. 2 LTF pour établir que ceux-ci auraient été arbitrairement omis. Quoi qu'il en soit, même à suivre cette version, cela signifierait qu'on ignore quand ce document aurait été signé si bien que son caractère de moyen de preuve nouveau pourrait être remis en question. Le recourant relève enfin que, si la cour cantonale éprouvait un doute quant au signataire de l'attestation, il convenait d'entendre B.________. Ce faisant, il perd de vue que la cour cantonale a estimé qu'indépendamment de son signataire, ce document n'était de toute façon pas propre à ébranler les constatations de fait sur lesquelles se fondait la condamnation si bien qu'il n'était pas nécessaire d'examiner les circonstances de sa signature et de vérifier son authenticité. Elle n'a ainsi pas écarté la pièce en raison de sa forme ou de doute quant à son auteur mais en a tenu compte, comme s'il était établi qu'elle émanait de B.________.</w:t>
      </w:r>
    </w:p>
    <w:p>
      <w:r>
        <w:t>Pour le surplus, le recourant se contente de rediscuter la crédibilité des déclarations de B.________. Il affirme que, s'agissant des déclarations prétendument constantes de B.________, celui-ci attesterait aujourd'hui avoir menti et qu'il appartiendrait donc à la juridiction de fond de l'entendre afin d'évaluer la crédibilité de ses déclarations. Ce faisant, il ne fait qu'opposer sa propre appréciation, sans démontrer en quoi celle de la cour cantonale serait manifestement insoutenable. En particulier, il semble ignorer que la cour cantonale, outre la constance, la cohérence et la précision des déclarations de B.________ durant la procédure au fond, a relevé le fait qu'elles ont été corroborées par les autres éléments du dossier, notamment les observations policières, les stupéfiants saisis et les circonstances de l'interpellation du recourant. On pourrait par ailleurs y ajouter les variations dans les déclarations du recourant relevées par la cour cantonale dans son jugement au fond. Le recourant ne discute pas de ces différents éléments, se limitant à indiquer que les policiers n'avaient pas vu la transaction elle-même. L'argumentation du recourant, purement appellatoire, n'est pas propre à démontrer que l'appréciation de la cour cantonale serait arbitraire, si bien que son grief est insuffisamment motivé, partant irrecevable.</w:t>
      </w:r>
    </w:p>
    <w:p>
      <w:r>
        <w:rPr>
          <w:b/>
        </w:rPr>
        <w:t>E. 1.6</w:t>
      </w:r>
    </w:p>
    <w:p>
      <w:r>
        <w:t>Enfin, dans la mesure où le recourant se plaint du fait de n'avoir pas pu être confronté à B.________ durant la procédure au fond et que le casier judiciaire de celui-ci n'aurait pas été versé à la procédure, il formule des critiques quant au déroulement de la première procédure qu'il aurait déjà pu soulever dans le cadre d'un recours ordinaire contre la décision de condamnation. De tels griefs n'ont pas leur place dans une procédure de révision, moyen de recours subsidiaire ( ATF 122 IV 66 consid. 2b p. 69; plus récemment arrêt 6B_742/2014 du 22 juin 2015 consid. 4.2 et les références citées).</w:t>
      </w:r>
    </w:p>
    <w:p>
      <w:r>
        <w:rPr>
          <w:b/>
        </w:rPr>
        <w:t>E. 1.7</w:t>
      </w:r>
    </w:p>
    <w:p>
      <w:r>
        <w:t>Eu égard à ce qui vient d'être exposé, le recourant échoue à démontrer que la cour cantonale aurait arbitrairement retenu que le moyen de preuve présenté n'était pas propre à ébranler les constatations de fait sur lesquelles se fonde la condamnation.</w:t>
      </w:r>
    </w:p>
    <w:p>
      <w:r>
        <w:t>Au vu de ce qui précède, la cour cantonale pouvait, sans violer le droit fédéral, déclarer irrecevable la demande de révision du recourant en application de l' art. 412 al. 2 CPP .</w:t>
      </w:r>
    </w:p>
    <w:p>
      <w:r>
        <w:rPr>
          <w:b/>
        </w:rPr>
        <w:t>E. 2</w:t>
      </w:r>
    </w:p>
    <w:p>
      <w:r>
        <w:t>Le recourant conclut à ce que l'assistance judiciaire lui soit accordée sur le plan cantonal dès le 10 mars 2020. Toutefois, il ne consacre aucun développement à cette requête. Il n'expose en particulier pas en quoi la cour cantonale aurait violé le droit en estimant que sa demande de révision était dénuée de chance de succès et en lui refusant l'assistance judiciaire pour ce motif. Il ne présente ainsi aucun grief répondant aux exigences de motivation de l' art. 42 al. 2 LTF et sa requête est ainsi irrecevable.</w:t>
      </w:r>
    </w:p>
    <w:p>
      <w:r>
        <w:rPr>
          <w:b/>
        </w:rPr>
        <w:t>E. 3</w:t>
      </w:r>
    </w:p>
    <w:p>
      <w:r>
        <w:t>Le recours doit être rejeté dans la mesure où il est recevable. Il était d'emblée dénué de chance de succès si bien que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