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742/2015 vom 27. August 2015</w:t>
      </w:r>
    </w:p>
    <w:p>
      <w:r>
        <w:t>Bundesgericht, 2015-08-27, DE</w:t>
      </w:r>
    </w:p>
    <w:p>
      <w:r>
        <w:rPr>
          <w:b/>
        </w:rPr>
        <w:t xml:space="preserve">Quelle: </w:t>
      </w:r>
      <w:r>
        <w:t>https://mcp.opencaselaw.ch/entscheid/bger_6B_742_2015</w:t>
      </w:r>
    </w:p>
    <w:p>
      <w:r>
        <w:t>FR: TF 6B 742/2015 du 27 août 2015</w:t>
      </w:r>
    </w:p>
    <w:p>
      <w:r>
        <w:t>IT: TF 6B 742/2015 del 27 agosto 2015</w:t>
      </w:r>
    </w:p>
    <w:p>
      <w:pPr>
        <w:pStyle w:val="Heading2"/>
      </w:pPr>
      <w:r>
        <w:t>Regeste</w:t>
      </w:r>
    </w:p>
    <w:p>
      <w:r>
        <w:t>Nichtanhandnahme (Nötigung, Amtsmissbrauch usw.) | Strafprozess</w:t>
      </w:r>
    </w:p>
    <w:p>
      <w:pPr>
        <w:pStyle w:val="Heading2"/>
      </w:pPr>
      <w:r>
        <w:t>Erwägungen</w:t>
      </w:r>
    </w:p>
    <w:p>
      <w:r>
        <w:rPr>
          <w:b/>
        </w:rPr>
        <w:t>E. 1</w:t>
      </w:r>
    </w:p>
    <w:p>
      <w:r>
        <w:t>Der Beschwerdeführer erstattete gegen Beamte der Kantonspolizei Bern sowie gegen drei Staatsanwälte Strafanzeige wegen Nötigung, Hausfriedensbruchs und Amtsmissbrauchs. Die Regionale Staatsanwaltschaft Bern-Mittelland nahm das Verfahren am 30. März 2015 nicht an die Hand. Eine dagegen gerichtete Beschwerde wies das Obergericht des Kantons Bern am 9. Juli 2015 ab, soweit es darauf eintrat. Der Beschwerdeführer wendet sich ans Bundesgericht und beantragt, der Beschluss vom 9. Juli 2015 sei aufzuheben und das Verfahren an die Hand zu nehmen.</w:t>
      </w:r>
    </w:p>
    <w:p>
      <w:r>
        <w:rPr>
          <w:b/>
        </w:rPr>
        <w:t>E. 2</w:t>
      </w:r>
    </w:p>
    <w:p>
      <w:r>
        <w:t>Zum Antrag auf Löschung bzw. Vernichtung einer DNA-Probe kann sich das Bundesgericht nicht äussern. Diese Massnahme war nicht Gegenstand des Verfahrens vor Vorinstanz (vgl. Beschluss S. 3 E. 2.2).</w:t>
      </w:r>
    </w:p>
    <w:p>
      <w:r>
        <w:rPr>
          <w:b/>
        </w:rPr>
        <w:t>E. 3</w:t>
      </w:r>
    </w:p>
    <w:p>
      <w:r>
        <w:t>Gemäss Art. 81 Abs. 1 lit. b Ziff. 5 BGG ist der Privatkläger zur Beschwerde in Strafsachen nur berechtigt, wenn der angefochtene Entscheid sich auf die Beurteilung seiner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6B_669/2015 vom 30. Juni 2015 mit Hinweis). Der Kanton Bern regelt die Haftung für Schädigungen durch seine Mitarbeiter im Personalgesetz vom 16. September 2004 (BSG 153.01). Gemäss Art. 100 Abs. 1 haftet der Staat für den Schaden, den Mitarbeiter in Ausübung ihrer amtlichen Tätigkeit Dritten widerrechtlich zugefügt haben. Eine persönliche Haftung ist ausgeschlossen (Art. 102 Abs. 1). Ein Zivilanspruch gegen die Beschuldigten steht dem Beschwerdeführer somit nicht zu. Folglich ist er zum vorliegenden Rechtsmittel nicht legitimiert. Auf die Beschwerde ist im Verfahren nach Art. 108 BGG nicht einzutreten.</w:t>
      </w:r>
    </w:p>
    <w:p>
      <w:r>
        <w:rPr>
          <w:b/>
        </w:rPr>
        <w:t>E. 4</w:t>
      </w:r>
    </w:p>
    <w:p>
      <w:r>
        <w:t>Die Gerichtskosten sind dem Beschwerdeführer aufzuerlegen ( Art. 66 Abs. 1 BGG ). Das nachträglich gestellte Gesuch um unentgeltliche Rechtspflege ist in Anwendung von Art. 64 BGG abzuweisen, weil die Rechtsbegehren aussichtslos erschienen. Der finanziellen Lage des Beschwerdeführers (vgl. act. 11)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