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742/2011 vom 1. März 2012</w:t>
      </w:r>
    </w:p>
    <w:p>
      <w:r>
        <w:t>Bundesgericht, 2012-03-01, DE</w:t>
      </w:r>
    </w:p>
    <w:p>
      <w:r>
        <w:rPr>
          <w:b/>
        </w:rPr>
        <w:t xml:space="preserve">Quelle: </w:t>
      </w:r>
      <w:r>
        <w:t>https://mcp.opencaselaw.ch/entscheid/bger_6B_742_2011</w:t>
      </w:r>
    </w:p>
    <w:p>
      <w:r>
        <w:t>FR: TF 6B 742/2011 du 1 mars 2012</w:t>
      </w:r>
    </w:p>
    <w:p>
      <w:r>
        <w:t>IT: TF 6B 742/2011 del 1 marzo 2012</w:t>
      </w:r>
    </w:p>
    <w:p>
      <w:pPr>
        <w:pStyle w:val="Heading2"/>
      </w:pPr>
      <w:r>
        <w:t>Regeste</w:t>
      </w:r>
    </w:p>
    <w:p>
      <w:r>
        <w:t>Grobe Verletzung von Verkehrsreglen | Straftaten</w:t>
      </w:r>
    </w:p>
    <w:p>
      <w:pPr>
        <w:pStyle w:val="Heading2"/>
      </w:pPr>
      <w:r>
        <w:t>Erwägungen</w:t>
      </w:r>
    </w:p>
    <w:p>
      <w:r>
        <w:rPr>
          <w:b/>
        </w:rPr>
        <w:t>E. 1</w:t>
      </w:r>
    </w:p>
    <w:p>
      <w:r>
        <w:t>Soweit der Beschwerdeführer von den vorinstanzlich festgestellten Tatsachen abweicht und diese ergänzt (z.B. Beschwerde S. 4 f. zur optischen Ausgestaltung der Bucheggstrasse, zur Geschwindigkeitsbegrenzung nach der Messstelle und zur andernorts in Zürich erlaubten Geschwindigkeit), ohne die Rüge der willkürlichen Sachverhaltsfeststellung substanziiert zu begründen, ist auf seine Beschwerde nicht einzutreten ( Art. 97 Abs. 1 und Art. 106 Abs. 2 BGG ; BGE 136 I 65 E. 1.3.1 S. 68 f. mit Hinweisen).</w:t>
      </w:r>
    </w:p>
    <w:p>
      <w:r>
        <w:rPr>
          <w:b/>
        </w:rPr>
        <w:t>E. 2.1</w:t>
      </w:r>
    </w:p>
    <w:p>
      <w:r>
        <w:t>Der Beschwerdeführer beruft sich auf einen Sachverhaltsirrtum in Bezug auf die zulässige Geschwindigkeit. Aufgrund der örtlichen Verhältnisse und des Ausbaustandards sei er von einer "Stadtautobahn" ausgegangen. Die Strasse führe zum Flughafen, wobei kurz nach dem Messpunkt eine Geschwindigkeit von 80 km/h erlaubt sei. Die Begrenzung auf 50 km/h habe er nicht wahrgenommen.</w:t>
      </w:r>
    </w:p>
    <w:p>
      <w:r>
        <w:rPr>
          <w:b/>
        </w:rPr>
        <w:t>E. 2.2</w:t>
      </w:r>
    </w:p>
    <w:p>
      <w:r>
        <w:t>Handelt der Täter in einer irrigen Vorstellung über den Sachverhalt, so beurteilt das Gericht die Tat zu Gunsten des Täters nach dem Sachverhalt, den sich der Täter vorgestellt hat ( Art. 13 Abs. 1 StGB ). Hätte der Täter den Irrtum bei pflichtgemässer Vorsicht vermeiden können, so ist er wegen Fahrlässigkeit strafbar, wenn die fahrlässige Begehung der Tat mit Strafe bedroht ist ( Art. 13 Abs. 2 StGB ). Auch die fahrlässige Geschwindigkeitsübertretung ist strafbar ( Art. 90 Ziff. 2 SVG i.V.m. Art. 100 Ziff. 1 SVG und Art. 27 Abs. 1 SVG ).</w:t>
      </w:r>
    </w:p>
    <w:p>
      <w:r>
        <w:rPr>
          <w:b/>
        </w:rPr>
        <w:t>E. 2.3</w:t>
      </w:r>
    </w:p>
    <w:p>
      <w:r>
        <w:t>Nach den unangefochtenen vorinstanzlichen Sachverhaltsfeststellungen gelangte der Beschwerdeführer bei der Einmündung der Röschibachstrasse auf die Rosengarten- und anschliessend die Bucheggstrasse (angefochtenes Urteil S. 9 mit Verweis auf das erstinstanzliche Urteil S. 6). Zwischen dieser Kreuzung und dem Messpunkt war die zulässige Höchstgeschwindigkeit von 50 km/h mit mehreren Verkehrsschildern signalisiert. Der Innerortscharakter ergibt sich überdies aus den örtlichen Verhältnissen. Es handelt sich um ein dicht besiedeltes Wohngebiet mit einem Schulhaus und mehreren Verkaufsgeschäften. Die Strasse ist nicht durch bauliche Massnahmen wie z.B. Leitplanken, sondern lediglich durch eine Sicherheitslinie richtungsgetrennt. Sie wird rechts und links von Trottoirs gesäumt. Schliesslich ist auch eine Trolleybusspur mit entsprechenden Strassenmarkierungen und Fahrleitungen vorhanden (angefochtenes Urteil S. 9 f. mit Verweis auf das erstinstanzliche Urteil S. 6 f.). Die Vorinstanz geht daher davon aus, beim vorgebrachten Irrtum handle es sich um eine Schutzbehauptung. Diese vorinstanzliche Würdigung ist nicht zu beanstanden. Nicht entscheidend sind in diesem Zusammenhang die auf anderen Strassenabschnitten geltenden Geschwindigkeiten. Selbst wenn sich aber der Beschwerdeführer über die Geschwindigkeit geirrt hätte, wäre ein allfälliger Irrtum nach den zutreffenden vorinstanzlichen Erwägungen (angefochtenes Urteil S. 7) vermeidbar gewesen. Hätte sich der Beschwerdeführer auf die Strasse konzentriert und nicht durch sein Navigationsgerät ablenken lassen (angefochtenes Urteil S. 7, S. 10), hätte er den Innerortscharakter erkannt.</w:t>
      </w:r>
    </w:p>
    <w:p>
      <w:r>
        <w:rPr>
          <w:b/>
        </w:rPr>
        <w:t>E. 3.1</w:t>
      </w:r>
    </w:p>
    <w:p>
      <w:r>
        <w:t>Der Beschwerdeführer wendet sich gegen die Verurteilung wegen grober Verkehrsregelnverletzung nach Art. 90 Ziff. 2 SVG . Er rügt sinngemäss, es fehle am objektiven und subjektiven Tatbestand. Angesichts des Ausbaustandards der Strecke könne ihm keine abstrakte Gefährdung Dritter vorgeworfen werden.</w:t>
      </w:r>
    </w:p>
    <w:p>
      <w:r>
        <w:rPr>
          <w:b/>
        </w:rPr>
        <w:t>E. 3.2</w:t>
      </w:r>
    </w:p>
    <w:p>
      <w:r>
        <w:t>Das Bundesgericht wendet das Recht von Amtes wegen an ( Art. 106 Abs. 1 BGG ). Soweit der Beschwerdeführer seine Grundrechte (das Willkürverbot nach Art. 9 BV und den Grundsatz "in dubio pro reo") im Zusammenhang mit der Rechtsanwendung als verletzt sieht (vgl. Beschwerde S. 7 f.), fallen seine Rügen mit der Frage nach der richtigen Anwendung des Bundesrechts zusammen.</w:t>
      </w:r>
    </w:p>
    <w:p>
      <w:r>
        <w:rPr>
          <w:b/>
        </w:rPr>
        <w:t>E. 3.3</w:t>
      </w:r>
    </w:p>
    <w:p>
      <w:r>
        <w:t>Der qualifizierte Tatbestand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Subjektiv erfordert der Tatbestand von Art. 90 Ziff. 2 SVG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Je schwerer dabei die Verkehrsregelnverletzung objektiv wiegt, desto eher wird Rücksichtslosigkeit subjektiv zu bejahen sein, sofern keine besonderen Gegenindizien vorliegen (Urteil 6B_563/2009 vom 20. November 2009 E. 1.4.2). Nach der Rechtsprechung sind die objektiven und grundsätzlich auch die subjektiven Voraussetzungen der groben Verkehrsregelnverletzung im Sinne von Art. 90 Ziff. 2 SVG ungeachtet der konkreten Umstände zu bejahen, wenn die zulässige Höchstgeschwindigkeit innerorts um 25 km/h oder mehr überschritten wird ( BGE 132 II 234 E. 3.1 S. 237 f.; 124 II 259 E. 2 b/bb S. 262; je mit Hinweisen).</w:t>
      </w:r>
    </w:p>
    <w:p>
      <w:r>
        <w:rPr>
          <w:b/>
        </w:rPr>
        <w:t>E. 3.4</w:t>
      </w:r>
    </w:p>
    <w:p>
      <w:r>
        <w:t>Die Verurteilung des Beschwerdeführers wegen grober Verkehrsregelnverletzung verstösst nicht gegen Bundesrecht. Er hat die Geschwindigkeit innerorts um mehr als 25 km/h überschritten und damit eine abstrakt erhöhte Gefahr für andere Verkehrsteilnehmer geschaffen ( BGE 132 II 234 E. 3.1 S. 237 f. mit Hinweisen). Dies zeigt namentlich der Umstand, dass er auf ein links vor ihm fahrendes Fahrzeug aufschloss. Dadurch verunmöglichte er diesem einen Spurwechsel nach rechts (angefochtenes Urteil S. 11). Auch in subjektiver Hinsicht durfte die Vorinstanz die Fahrweise des Beschwerdeführers als rücksichtslos bezeichnen. Er hatte es eilig, um auf den Flughafen zu gelangen und richtete sein Augenmerk auf das Navigationsgerät, obwohl es sich um eine stark befahrene Strasse handelt (angefochtenes Urteil S. 7, S. 9 f. mit Verweis auf das erstinstanzliche Urteil S. 6). Selbst bei einer strengen Handhabung von Art. 90 Ziff. 2 SVG (Urteil 6B_109/2008 vom 13. Juni 2008 E. 3.1) ergeben sich keine konkreten Anhaltspunkte, welche die Geschwindigkeitsübertretung subjektiv in einem milderen Licht erscheinen lassen. Sein genereller automobilistischer Leumund vermag den Beschwerdeführer angesichts der Tatumstände nicht zu entlasten ( BGE 132 II 234 E. 3.1 S. 237 f. mit Hinweisen). Auch aus dem Entscheid 6B_622/2009 lässt sich nichts zu Gunsten des Beschwerdeführers ableiten, da dort ein anderer Sachverhalt zu beurteilen war.</w:t>
      </w:r>
    </w:p>
    <w:p>
      <w:r>
        <w:rPr>
          <w:b/>
        </w:rPr>
        <w:t>E. 4</w:t>
      </w:r>
    </w:p>
    <w:p>
      <w:r>
        <w:t>Der Beschwerdeführer verlangt eine Strafreduktion für den Fall, dass sein Verhalten als einfache Verkehrsregelnverletzung zu qualifizieren wäre (Beschwerde S. 6 ff.). Ausführungen dazu erübrigen sich, nachdem die Verurteilung bundesrechtskonform ist.</w:t>
      </w:r>
    </w:p>
    <w:p>
      <w:r>
        <w:rPr>
          <w:b/>
        </w:rPr>
        <w:t>E. 5</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