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6B_741/2013 vom 19. Juni 2014</w:t>
      </w:r>
    </w:p>
    <w:p>
      <w:r>
        <w:t>Bundesgericht, 2014-06-19, DE</w:t>
      </w:r>
    </w:p>
    <w:p>
      <w:r>
        <w:rPr>
          <w:b/>
        </w:rPr>
        <w:t xml:space="preserve">Quelle: </w:t>
      </w:r>
      <w:r>
        <w:t>https://mcp.opencaselaw.ch/entscheid/bger_6B_741_2013</w:t>
      </w:r>
    </w:p>
    <w:p>
      <w:r>
        <w:t>FR: TF 6B_741/2013 du 19 juin 2014</w:t>
      </w:r>
    </w:p>
    <w:p>
      <w:r>
        <w:t>IT: TF 6B_741/2013 del 19 giugno 2014</w:t>
      </w:r>
    </w:p>
    <w:p>
      <w:pPr>
        <w:pStyle w:val="Heading2"/>
      </w:pPr>
      <w:r>
        <w:t>Erwägungen</w:t>
      </w:r>
    </w:p>
    <w:p>
      <w:r>
        <w:rPr>
          <w:b/>
        </w:rPr>
        <w:t>E. 1</w:t>
      </w:r>
    </w:p>
    <w:p>
      <w:r>
        <w:t>Der Beschwerdeführer macht geltend, die Jugendstrafprozessordnung regle nur die Verfolgung und Beurteilung von Straftaten des Bundesrechts ( Art. 1 JStPO ). Die APV/W sei ein Gemeindeerlass, weshalb die Jugendstaatsanwaltschaft gar nicht hätte tätig werden dürfen.</w:t>
      </w:r>
    </w:p>
    <w:p>
      <w:r>
        <w:t>Es trifft zwar zu, dass die JStPO Widerhandlungen Jugendlicher gegen kantonales oder kommunales Übertretungsrecht nicht erfasst ( HUG/SCHLÄFLI, Basler Kommentar, 3. Auflage, N 4 zu Art. 2 JStPO ). Doch hat der Kanton Zürich die JStPO auch auf das Strafrecht des Kantons sowie auf das Übertretungsstrafrecht der Gemeinden anwendbar erklärt (§ 2 des Gesetzes über die Gerichts- und Behördenorganisation im Zivil- und Strafprozess vom 10. Mai 2010).</w:t>
      </w:r>
    </w:p>
    <w:p>
      <w:r>
        <w:t>Der Beschwerdeführer bemüht auch den Grundsatz "nulla poena sine lege scripta". Art. 15 APV/W schützt die öffentliche Sicherheit und Ordnung und verbietet insbesondere, Notrufe zu missbrauchen (Abs. 2 lit. b). Inwiefern diese Formulierung dem angerufenen Grundsatz nicht genügen sollte, ist nicht nachvollziehbar.</w:t>
      </w:r>
    </w:p>
    <w:p>
      <w:r>
        <w:rPr>
          <w:b/>
        </w:rPr>
        <w:t>E. 2</w:t>
      </w:r>
    </w:p>
    <w:p>
      <w:r>
        <w:t>Die Jungen wählten während rund einer Stunde mehrfach verschiedene Notrufnummern und stöhnten dazu. Dadurch belegten sie diese unnötig, weshalb dringende Notrufe behindert werden konnten. Bei dieser Ausgangslage verneinte die Vorinstanz zu Recht einen Bagatellfall (Art. 21 Abs. 1 lit. b JStGB). Soweit der Beschwerdeführer den vorinstanzlichen Sachverhalt ergänzt oder von ihm abweicht, ohne Willkür darzutun, ist darauf nicht einzutreten.</w:t>
      </w:r>
    </w:p>
    <w:p>
      <w:r>
        <w:t>Entgegen den Ausführungen des Beschwerdeführers ist die Strafverfolgung für die Öffentlichkeit nicht bloss von geringem Interesse, und die Sanktionen der Eltern hinterliessen bei ihm keinen genügenden Eindruck. Insoweit kann auf die vorinstanzlichen Ausführungen verwiesen werden (angefochtener Entscheid S. 7 f.).</w:t>
      </w:r>
    </w:p>
    <w:p>
      <w:r>
        <w:rPr>
          <w:b/>
        </w:rPr>
        <w:t>E. 3</w:t>
      </w:r>
    </w:p>
    <w:p>
      <w:r>
        <w:t>Der Beschwerdeführer macht geltend, sein Anspruch auf rechtliches Gehör sei verletzt, weil die Vorinstanz seinen Antrag, die Telefonprotokolle seien abzuspielen, abgewiesen habe.</w:t>
      </w:r>
    </w:p>
    <w:p>
      <w:r>
        <w:t>Nach dem verbindlichen Sachverhalt sprachen die beiden Jungen nicht ins Telefon, sondern stöhnten nur. Deshalb durfte die Vorinstanz in willkürfreier antizipierter Beweiswürdigung festhalten, dass die Jungen nicht ohne Weiteres aufgrund ihres Stöhnens identifiziert werden könnten. Die Rüge ist unbegründet.</w:t>
      </w:r>
    </w:p>
    <w:p>
      <w:r>
        <w:rPr>
          <w:b/>
        </w:rPr>
        <w:t>E. 4</w:t>
      </w:r>
    </w:p>
    <w:p>
      <w:r>
        <w:t>Der Beschwerdeführer beanstandet, die Strafe sei nicht verhältnismässig, weil der um zwei Jahre ältere Mitbeteiligte dieselbe Sanktion erhalten habe.</w:t>
      </w:r>
    </w:p>
    <w:p>
      <w:r>
        <w:t>Das Strafmass hängt nicht allein von der Tatschwere ab. Da der Beschwerdeführer die übrigen Strafzumessungsmerkmale, die beim anderen Jugendlichen zu berücksichtigen waren, nicht nennt, bleibt dem Bundesgericht eine Verhältnismässigkeitsprüfung verwehrt.</w:t>
      </w:r>
    </w:p>
    <w:p>
      <w:r>
        <w:rPr>
          <w:b/>
        </w:rPr>
        <w:t>E. 5</w:t>
      </w:r>
    </w:p>
    <w:p>
      <w:r>
        <w:t>Die Beschwerde ist abzuweisen, soweit darauf eingetreten werden kann. Ausgangsgemäss hat der Beschwerdeführer die bundesgerichtlichen Kosten zu tragen ( Art. 66 Abs. 1 BGG ). Sein Gesuch um unentgeltliche Rechtspflege ist wegen Aussichtslosigkeit abzuweisen ( Art. 64 Abs. 1 BGG ). Der Beschwerdeführer ist erst 14 Jahre alt. Dessen wirtschaftlicher Lage ist analog zum angefochtenen Entscheid mit deutlich reduzierten 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