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6B_740/2016 vom 2. Juni 2017</w:t>
      </w:r>
    </w:p>
    <w:p>
      <w:r>
        <w:t>Bundesgericht, 2017-06-02, FR</w:t>
      </w:r>
    </w:p>
    <w:p>
      <w:r>
        <w:rPr>
          <w:b/>
        </w:rPr>
        <w:t xml:space="preserve">Quelle: </w:t>
      </w:r>
      <w:r>
        <w:t>https://mcp.opencaselaw.ch/entscheid/bger_6B_740_2016</w:t>
      </w:r>
    </w:p>
    <w:p>
      <w:r>
        <w:t>FR: TF 6B_740/2016 du 2 juin 2017</w:t>
      </w:r>
    </w:p>
    <w:p>
      <w:r>
        <w:t>IT: TF 6B_740/2016 del 2 giugno 2017</w:t>
      </w:r>
    </w:p>
    <w:p>
      <w:pPr>
        <w:pStyle w:val="Heading2"/>
      </w:pPr>
      <w:r>
        <w:t>Erwägungen</w:t>
      </w:r>
    </w:p>
    <w:p>
      <w:r>
        <w:rPr>
          <w:b/>
        </w:rPr>
        <w:t>E. 1</w:t>
      </w:r>
    </w:p>
    <w:p>
      <w:r>
        <w:t>Le recourant, qui se fonde sur le droit de tout prévenu de ne pas s'incriminer (cf. art. 113 al. 1 CPP ) et se réfère notamment à des avis de doctrine, reproche à la cour cantonale d'avoir tenu compte de sa mauvaise collaboration dans la fixation de sa peine. Or, de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(cf. ATF 141 IV 61 consid. 6.1.1 p. 66 s.; 129 IV 6 consid. 6.1 p. 20; voir également l'arrêt 6B_688/2015 du 19 mai 2016 consid. 3.5 et les références citées). C'est ce qui a été implicitement retenu par la cour cantonale, dans la mesure où elle a constaté que le recourant avait souvent contesté les faits reprochés, malgré les éléments de preuves qui lui étaient soumis (preuves matérielles, images de vidéosurveillance et témoignages), pour finalement les admettre devant le ministère public ou les premiers juges. Elle a également fait référence à une absence totale de prise de conscience de l'intéressé du caractère répréhensible de ses actes. Dans ces conditions, elle était fondée à tenir compte de cette circonstance comme facteur aggravant de la peine. Mal fondé, le grief soulevé doit être rejeté. Pour le surplus, le recourant ne conteste pas les autres critères pris en compte par la cour cantonale dans le cadre de la fixation de la peine, de sorte qu'il n'y a pas lieu d'examiner ce point plus avant.</w:t>
      </w:r>
    </w:p>
    <w:p>
      <w:r>
        <w:rPr>
          <w:b/>
        </w:rPr>
        <w:t>E. 2</w:t>
      </w:r>
    </w:p>
    <w:p>
      <w:r>
        <w:t>Le recourant se plaint d'une violation des art. 42 et 50 CP .</w:t>
      </w:r>
    </w:p>
    <w:p>
      <w:r>
        <w:rPr>
          <w:b/>
        </w:rPr>
        <w:t>E. 2.1</w:t>
      </w:r>
    </w:p>
    <w:p>
      <w:r>
        <w:t>Aux termes de l' art. 42 al. 1 CP , le juge suspend en règle générale l'exécution d'une peine privative de liberté de six mois au moins et de deux ans au plus lorsqu'une peine ferme ne paraît pas nécessaire pour détourner l'auteur d'autres crimes ou délits.</w:t>
      </w:r>
    </w:p>
    <w:p>
      <w:r>
        <w:t>Pour l'octroi ou le refus du sursis, le juge doit poser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tenu compte de tous les éléments pertinents et comment ils ont été appréciés. Le sursis est la règle dont on ne peut s'écarter qu'en présence d'un pronostic défavorable. Le sursis prime en cas d'incertitude (cf. ATF 135 IV 180 consid. 2.1 p. 185 s. et les références citées).</w:t>
      </w:r>
    </w:p>
    <w:p>
      <w:r>
        <w:rPr>
          <w:b/>
        </w:rPr>
        <w:t>E. 2.2</w:t>
      </w:r>
    </w:p>
    <w:p>
      <w:r>
        <w:t>Le recourant reproche à la cour cantonale d'avoir omis de prendre en compte la période particulièrement difficile qu'il aurait traversée entre octobre 2012 et novembre 2014 en raison de l'accusation de viol dont il faisait l'objet, le fait qu'il aurait mis fin à ses agissements plus d'une année avant que la cour cantonale ne statue et qu'il aurait exécuté 77 jours de peine privative de liberté dès le 18 juin 2015, ce qui l'aurait conforté dans sa volonté de tout mettre en oeuvre pour améliorer sa situation, ainsi que son inscription à une future formation.</w:t>
      </w:r>
    </w:p>
    <w:p>
      <w:r>
        <w:t>Ces éléments ne permettent toutefois pas de renverser le pronostic défavorable retenu par la cour cantonale. En effet, sa condamnation prononcée le 14 décembre 2011 à une peine ferme de trois mois ne l'a pas dissuadé de commettre de nouvelles infractions par la suite. Ainsi, rien ne permet concrètement de penser que les 77 jours de peine privative de liberté qu'il allègue avoir subis dès le 18 juin 2015 auraient davantage d'effet. Il en va de même de la période difficile qu'il dit avoir traversée entre octobre 2012 et novembre 2014. Outre qu'on ne distingue pas en quoi cet élément justifierait les infractions commises, il n'est pas de nature à influer positivement le pronostic défavorable posé, ce d'autant qu'il a commencé à s'adonner à des activités délictuelles bien avant cette époque. L'absence de récidive mise en avant durant l'année précédant l'arrêt attaqué n'est pas non plus pertinente, dès lors qu'un tel comportement correspond à ce que l'on doit pouvoir attendre de tout un chacun (arrêts 6B_1249/2015 du 7 juillet 2016 consid. 5.6; 6B_1154/2014 du 31 mai 2016 consid. 4.4). Enfin, son inscription à une future formation, dont la cour cantonale a tenu compte, est de peu de poids et ne permet pas de renverser le pronostic défavorable, compte tenu des éléments retenus en sa défaveur, savoir ses nombreux antécédents, partiellement spécifiques, son absence de prise de conscience et sa situation personnelle précaire.</w:t>
      </w:r>
    </w:p>
    <w:p>
      <w:r>
        <w:t>En définitive, le recourant ne cite aucun élément propre à modifier l'appréciation de la cour cantonale quant au pronostic sur son comportement futur qui aurait été omis ou pris en considération à tort par celle-ci. Au vu des circonstances, qui ont fait l'objet d'une motivation détaillée et conforme aux exigences de l' art. 50 CP à laquelle on peut renvoyer ( art. 109 al. 3 LTF ; arrêt entrepris p. 15 s.), il n'apparaît pas que l'émission d'un pronostic défavorable procède d'un excès ou d'un abus du large pouvoir d'appréciation dont dispose la cour cantonale.</w:t>
      </w:r>
    </w:p>
    <w:p>
      <w:r>
        <w:t>Mal fondé, le grief tiré de la violation des art. 42 et 50 CP doit donc être rejeté, dans la mesure de sa recevabilité.</w:t>
      </w:r>
    </w:p>
    <w:p>
      <w:r>
        <w:rPr>
          <w:b/>
        </w:rPr>
        <w:t>E. 3</w:t>
      </w:r>
    </w:p>
    <w:p>
      <w:r>
        <w:t>Le recourant conteste le refus de lui allouer une indemnité de 10'000 fr. au titre de réparation du tort moral résultant de la procédure pénale menée à son encontre (cf. art. 429 al. 1 let . c CPP). Il se plaint d'une violation de l' art. 429 al. 2 CPP .</w:t>
      </w:r>
    </w:p>
    <w:p>
      <w:r>
        <w:rPr>
          <w:b/>
        </w:rPr>
        <w:t>E. 3.1</w:t>
      </w:r>
    </w:p>
    <w:p>
      <w:r>
        <w:t>Selon l' art. 429 al. 1 let . c CPP, si le prévenu est acquitté totalement ou en partie ou s'il bénéficie d'une ordonnance de classement, il a droit à une réparation du tort moral subi en raison d'une atteinte particulièrement grave à sa personnalité, notamment en cas de privation de liberté. L'autorité pénale examine d'office les prétentions du prévenu. Elle peut enjoindre à celui-ci de les chiffrer et de les justifier ( art. 429 al. 2 CPP ). La jurisprudence a déduit de cette dernière disposition qu'il incombe à l'autorité pénale, à tout le moins, d'interpeller le prévenu sur la question de l'indemnité et de l'enjoindre au besoin de chiffrer et justifier ses prétentions en indemnisation ( ATF 142 IV 237 consid. 1.3.1 p. 240). L' art. 429 al. 2 CPP ne dispense toutefois pas le prévenu acquitté, qui supporte le fardeau de la preuve, de collaborer avec le juge (cf. WEHRENBERG/FRANK, in Basler Kommentar, Schweizerische Strafprozessordnung, 2</w:t>
      </w:r>
    </w:p>
    <w:p>
      <w:r>
        <w:t>e éd. 2014, n</w:t>
      </w:r>
    </w:p>
    <w:p>
      <w:r>
        <w:t>o 31a ad art. 429 CPP ).</w:t>
      </w:r>
    </w:p>
    <w:p>
      <w:r>
        <w:t>L' 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 ATF 142 IV 237 consid. 1.3.1 p. 239). Le lien de causalité s'apprécie selon les principes de la causalité naturelle et adéquate et selon le degré de la haute vraisemblance ( arrêt 6B_928/2014 du 10 mars 2016 consid. 2, non publié in ATF 142 IV 163 et la référence citée).</w:t>
      </w:r>
    </w:p>
    <w:p>
      <w:r>
        <w:rPr>
          <w:b/>
        </w:rPr>
        <w:t>E. 3.2</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 art. 49 CO (cf. arrêt 6B_928/2014 précité consid. 5.1, non publié in ATF 142 IV 163 et la référence citée).</w:t>
      </w:r>
    </w:p>
    <w:p>
      <w:r>
        <w:t>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(cf. arrêt 6B_928/2014 précité consid. 5.1, non publié in ATF 142 IV 163 et les références citées).</w:t>
      </w:r>
    </w:p>
    <w:p>
      <w:r>
        <w:t>La gravité objective de l'atteinte doit être ressentie par le prévenu comme une souffrance morale. Il incombe à ce dernier de faire état des circonstances qui font qu'il a ressenti l'atteinte comme étant subjectivement grave ( ATF 120 II 97 consid. 2b p. 99). La fixation du tort moral procède d'une appréciation des circonstances et l'autorité compétente bénéficie d'un large pouvoir d'appréciation en la matière. Le Tribunal fédéral n'intervient que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 6B_928/2014 précité consid. 5.1, non publié in ATF 142 IV 163 ; ATF 130 III 699 consid. 5.1 p. 705).</w:t>
      </w:r>
    </w:p>
    <w:p>
      <w:r>
        <w:rPr>
          <w:b/>
        </w:rPr>
        <w:t>E. 3.3</w:t>
      </w:r>
    </w:p>
    <w:p>
      <w:r>
        <w:t>La cour cantonale a jugé que si le recourant avait effectivement été acquitté de l'accusation de viol après trois ans et demi de procédure, il n'avait été détenu pour ce motif que quelques heures dans les locaux de la police, avant d'être relaxé. Un jour de détention devait être déduit de sa peine pour ce motif. Il avait été condamné au tiers des frais de la procédure de première instance, au vu des autres infractions dont il avait été reconnu coupable. Au surplus, le recourant, qui avait le fardeau de la preuve, n'établissait aucunement avoir subi une atteinte grave à sa personnalité du fait de l'accusation de viol, au-delà des inconvénients inhérents à toute procédure pénale. La procédure n'avait pas été médiatisée. Le recourant n'avait fourni aucun élément permettant de retenir un lien de causalité entre son passage dans les locaux de la police le 22 février 2012 et la perte d'un emploi, d'un logement ou la rupture d'une relation sentimentale. La suspension de son permis d'établissement jusqu'à droit jugé dans la présente procédure était également due aux nombreuses infractions pour lesquelles il avait été condamné. Là encore, le recourant n'établissait pas un échec dans une recherche d'emploi pour ce motif. Les conditions d'octroi d'une indemnité pour tort moral n'étaient pas réalisées, ce qui conduisait à la confirmation de la décision des premiers juges sur ce point.</w:t>
      </w:r>
    </w:p>
    <w:p>
      <w:r>
        <w:rPr>
          <w:b/>
        </w:rPr>
        <w:t>E. 3.4</w:t>
      </w:r>
    </w:p>
    <w:p>
      <w:r>
        <w:t>Le recourant soutient que la perte de son logement et de son emploi et la rupture de sa relation sentimentale seraient dues à l'accusation de viol. Il fait valoir que le « timing » entre cette accusation et les événements qui s'en sont suivis aurait dû constituer un indice suffisant pour retenir le lien de causalité, respectivement prétend ne pas voir quelle autre preuve il aurait pu amener pour démontrer ce lien, les conséquences d'une accusation de viol sur une personne relevant d'un fait notoire ou à tout le moins confineraient au fait notoire. Ce faisant, le recourant s'en prend clairement à l'appréciation de la cour cantonale relative à la causalité naturelle, qui est une question de fait. Le Tribunal fédéral ne revoit cet aspect que sous l'angle de l'arbitraire (cf. ATF 136 III 513 consid. 2.6 p. 517 s.; sur la notion d'arbitraire, ATF 141 III 564 consid. 4.1 p. 566).</w:t>
      </w:r>
    </w:p>
    <w:p>
      <w:r>
        <w:rPr>
          <w:b/>
        </w:rPr>
        <w:t>E. 3.5</w:t>
      </w:r>
    </w:p>
    <w:p>
      <w:r>
        <w:t>On comprend de la motivation de la cour cantonale qu'elle a admis, après avoir procédé à une appréciation des preuves, la réalité et la chronologie des événements invoqués par le recourant (perte de son emploi et de son logement, rupture sentimentale) pour prétendre à une indemnité pour tort moral. On cherche en vain, dans le raisonnement de l'autorité précédente (cf. supra consid. 3.3) - qui doit trancher selon la règle de la haute vraisemblance (cf. supra consid. 3.1) -, les motifs objectifs sur lesquels elle s'est fondée pour nier un lien de causalité naturelle entre l'accusation de viol et les événements concrets que le recourant a subis par la suite dans le cadre de sa vie privée et professionnelle. Or, il est constant qu'une procédure portant sur une telle infraction menée à l'encontre d'une personne est propre à provoquer une atteinte grave à ses intérêts personnels, ce d'autant plus lorsque la procédure dure plus de trois ans, comme c'est le cas en l'espèce. Dans ces circonstances et telle qu'elle est articulée, la motivation cantonale ne permet pas de comprendre les raisons qui ont conduit les juges à nier un lien de causalité naturelle; elle apparaît ainsi arbitraire, ce qui justifie d'admettre le recours sur ce point.</w:t>
      </w:r>
    </w:p>
    <w:p>
      <w:r>
        <w:rPr>
          <w:b/>
        </w:rPr>
        <w:t>E. 4</w:t>
      </w:r>
    </w:p>
    <w:p>
      <w:r>
        <w:t>Il résulte de ce qui précède que le recours doit être partiellement admis, l'arrêt attaqué annulé et la cause renvoyée à l'autorité précédente pour nouvelle décision. Le recours est rejeté pour le surplus, dans la mesure de sa recevabilité.</w:t>
      </w:r>
    </w:p>
    <w:p>
      <w:r>
        <w:t>Le recourant a requis l'assistance judiciaire. Il peut prétendre à une indemnité de dépens réduite pour le grief admis, laquelle sera mise à la charge du canton de Genève ( art. 68 al. 1 LTF ), ce qui rend sa demande d'assistance judiciaire sans objet dans cette mesure. Elle est rejetée pour le surplus, le recours étant dénué de chances de succès en ce qui concerne les autres griefs ( art. 64 al. 1 LTF ). Le recourant supporte des frais réduits eu égard à l'issue de la cause et à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