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6B_73/2008 vom 13. März 2008</w:t>
      </w:r>
    </w:p>
    <w:p>
      <w:r>
        <w:t>Bundesgericht, 2008-03-13, FR</w:t>
      </w:r>
    </w:p>
    <w:p>
      <w:r>
        <w:rPr>
          <w:b/>
        </w:rPr>
        <w:t xml:space="preserve">Quelle: </w:t>
      </w:r>
      <w:r>
        <w:t>https://mcp.opencaselaw.ch/entscheid/bger_6B_73_2008</w:t>
      </w:r>
    </w:p>
    <w:p>
      <w:r>
        <w:t>FR: TF 6B_73/2008 du 13 mars 2008</w:t>
      </w:r>
    </w:p>
    <w:p>
      <w:r>
        <w:t>IT: TF 6B_73/2008 del 13 marzo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ordinaire au Tribunal fédéral peut être formé notamment pour violation du droit fédéral ( art. 95 let. a LTF ) y compris les droits constitutionnels. La décision attaquée a été rendue dans le cadre d'une procédure pénale de sorte que les griefs de violation des art. 9 et 29 Cst. peuvent être examinés dans le cadre du recours en matière pénale prévu aux art. 78 ss LTF , ce qui exclut la voie du recours constitutionnel subsidiaire ( ATF 133 IV 335 consid. 2).</w:t>
      </w:r>
    </w:p>
    <w:p>
      <w:r>
        <w:rPr>
          <w:b/>
        </w:rPr>
        <w:t>E. 2</w:t>
      </w:r>
    </w:p>
    <w:p>
      <w:r>
        <w:t>Selon la jurisprudence relative à l' art. 81 LTF , le lésé non victime LAVI n'a en principe pas qualité pour former un recours en matière pénale ( ATF 133 IV 228 ). Comme l'action pénale appartient exclusivement à l'Etat, le simple lésé n'a pas d'intérêt juridique à ce que cette action poursuive son cours. De plus, dès lors qu'il n'a pas qualité pour recourir sur le fond, il n'est pas recevable à contester l'appréciation des preuves, ni le rejet de réquisitions motivé par une appréciation anticipée de la preuve requise ou par le défaut de pertinence du fait à établir ( ATF 120 Ia 157 consid. 2a/bb et la jurisprudence citée). Le cas échéant, il peut se plaindre uniquement d'une violation de ses droits de partie à la procédure, qui lui sont reconnus par le droit cantonal ou constitutionnel, lorsque cette violation équivaut à un déni de justice formel ( ATF 133 IV 228 consid. 2.3.2 p. 233 et la jurisprudence citée).</w:t>
      </w:r>
    </w:p>
    <w:p>
      <w:r>
        <w:rPr>
          <w:b/>
        </w:rPr>
        <w:t>E. 3</w:t>
      </w:r>
    </w:p>
    <w:p>
      <w:r>
        <w:t>L'administration de la faillite représente la masse en justice ( art. 240 LP ). Elle n'a pas la personnalité juridique mais peut représenter la masse notamment devant les autorités pénales, en tant que partie civile (Bénédict Foëx/Nicolas Jeandin, Poursuite et faillite, Commentaire Romand, Bâle 2005 p. 1082 n. 9 et 10). Son but principal est de maximiser le dividende obtenu par les créanciers (op. cit. p. 1081 n. 4).</w:t>
      </w:r>
    </w:p>
    <w:p>
      <w:r>
        <w:t>En l'espèce, la recourante est la masse en faillite d'une SA qui a déposé plainte pénale pour des infractions dans la faillite. Il s'agirait donc d'atteintes à des droits économiques, ce qui exclut la qualité de victime au sens de l' art. 2 al. 1 LAVI (RS 312.5). Elle n'est pas non plus un accusateur privé, institution inconnue du droit de procédure pénale genevois (art. 81 al. 1 let. b ch. 4 LTF; ATF 128 IV 37 consid. 3). En tant que simple lésée, elle ne pourrait se plaindre que de la violation de ses droits de partie équivalant à un déni de justice. Or, on n'en discerne pas car elle a pu faire valoir ses arguments devant la Chambre d'accusation. Les violations des art. 9 et 29 Cst. qu'elle invoque ont trait à l'appréciation des preuves relatives aux éléments constitutifs des infractions dénoncées ( art. 167 et 164 CP ). Ce sont donc des griefs concernant le fond, qu'elle n'est pas recevable à soulever.</w:t>
      </w:r>
    </w:p>
    <w:p>
      <w:r>
        <w:t>En conséquence, le recours en matière pénale est irrecevable. Il en va de même du recours constitutionnel subsidiaire.</w:t>
      </w:r>
    </w:p>
    <w:p>
      <w:r>
        <w:rPr>
          <w:b/>
        </w:rPr>
        <w:t>E. 4</w:t>
      </w:r>
    </w:p>
    <w:p>
      <w:r>
        <w:t>La recourante supporte les frais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