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6B_739/2022 vom 22. März 2023</w:t>
      </w:r>
    </w:p>
    <w:p>
      <w:r>
        <w:t>Bundesgericht, 2023-03-22, FR</w:t>
      </w:r>
    </w:p>
    <w:p>
      <w:r>
        <w:rPr>
          <w:b/>
        </w:rPr>
        <w:t xml:space="preserve">Quelle: </w:t>
      </w:r>
      <w:r>
        <w:t>https://mcp.opencaselaw.ch/entscheid/bger_6B_739_2022</w:t>
      </w:r>
    </w:p>
    <w:p>
      <w:r>
        <w:t>FR: TF 6B_739/2022 du 22 mars 2023</w:t>
      </w:r>
    </w:p>
    <w:p>
      <w:r>
        <w:t>IT: TF 6B_739/2022 del 22 marzo 2023</w:t>
      </w:r>
    </w:p>
    <w:p>
      <w:pPr>
        <w:pStyle w:val="Heading2"/>
      </w:pPr>
      <w:r>
        <w:t>Erwägungen</w:t>
      </w:r>
    </w:p>
    <w:p>
      <w:r>
        <w:rPr>
          <w:b/>
        </w:rPr>
        <w:t>E. 1</w:t>
      </w:r>
    </w:p>
    <w:p>
      <w:r>
        <w:t>Le Tribunal fédéral examine d'office et librement la recevabilité des recours qui lui sont soumis ( ATF 146 IV 185 consid. 2). Il incombe toutefois à la partie recourante, en application de l' art. 42 al. 2 LTF , d'exposer précisément en quoi réside son intérêt au recours ( ATF 147 IV 453 consid. 1.4.8; 141 IV 1 consid. 1.1), lorsque sa qualité pour recourir n'est pas évidente.</w:t>
      </w:r>
    </w:p>
    <w:p>
      <w:r>
        <w:rPr>
          <w:b/>
        </w:rPr>
        <w:t>E. 1.1</w:t>
      </w:r>
    </w:p>
    <w:p>
      <w:r>
        <w:t>L'écriture de la recourante du 27 juin 2022, en tant qu'elle complète son acte de recours, est irrecevable, puisqu'elle est postérieure à l'échéance du délai de recours. Il n'y a dès lors pas lieu de s'y arrêter ( art. 42 al. 1 et 2 LTF en lien avec les art. 48 al. 1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1.3</w:t>
      </w:r>
    </w:p>
    <w:p>
      <w:r>
        <w:t>La recourante ne remet pas en cause le classement de la procédure pénale ouverte contre feu E.________, en raison du décès de ce dernier. Elle sollicite toutefois la confirmation des ch. 2, 3, 4 et 8 du dispositif de l'ordonnance de classement du 15 novembre 2021, portant notamment sur la condamnation de C.________ au paiement d'une créance compensatrice à hauteur de 2'717'407 fr. (ch. 2) ainsi que sur le maintien du séquestre des avoirs sur le compte ouvert au nom de D.________ Ltd à due concurrence (ch. 3).</w:t>
      </w:r>
    </w:p>
    <w:p>
      <w:r>
        <w:t>Pour toute explication relative à sa qualité pour recourir au Tribunal fédéral, la recourante indique que l'annulation de la décision attaquée, laquelle supprime le prononcé d'une créance compensatrice, aura des effets directs sur ses prétentions civiles, dès lors que le ch. 5 du dispositif de l'ordonnance du ministère public du 15 novembre 2021 - qui la renvoie à agir auprès de l'autorité compétente s'agissant de l'allocation de la créance compensatrice - serait entré en force (mémoire de recours ch. 4).</w:t>
      </w:r>
    </w:p>
    <w:p>
      <w:r>
        <w:t>Ce faisant, la recourante ne chiffre pas ses prétentions civiles, et n'explique pas dans quelle mesure elle pourrait les faire valoir contre les intimés, respectivement contre feu E.________ dans la procédure en cause (cf. sur la qualité pour défendre de l'action adhésive au procès pénal, JEANDIN/FONTANET, in Commentaire romand du Code de procédure pénale suisse, 2e éd. 2019, n°s 12 et 14 ad art. 122 CPP ). Elle ne prétend ni ne démontre être créancière dans la faillite de G.________ SA. Tout au plus expose-t-elle, dans ses griefs de fond, que c'est en raison des libéralités illicites de E.________ que les débiteurs (recte: créanciers) de G.________ SA n'ont pas pu être payés. Elle évoque les honoraires d'architecte dus à B.A.________, dont elle affirme être l'ayant droit (mémoire de recours ch. 48). Cela étant, elle ne fournit aucune explication quant à la transmission en sa faveur des droits de la partie plaignante, feu B.A.________. En outre, elle ne prétend, ni ne tente de démontrer que ses prétentions civiles seraient distinctes des montants dont G.________ SA a été condamnée au paiement à feu B.A.________, créancier de la société faillie, pour ses honoraires et débours en lien avec les projets immobiliers en cause (cf.</w:t>
      </w:r>
    </w:p>
    <w:p>
      <w:r>
        <w:t>supra let. B.b). Or, la partie plaignante n'est pas habilitée à recourir en matière pénale lorsque les prétentions civiles sont traitées dans une procédure civile parallèle (arrêts 6B_831/2021 du 26 janvier 2023 consid. 1.1; 6B_738/2022 du 6 décembre 2022 consid. 2.1) ou lorsqu'elles ont été résolues d'une autre manière (arrêts 6B_172/2022 du 31 octobre 2022 consid. 1.1; 6B_92/2019 du 21 mars 2019 consid. 3; CHRISTIAN DENYS, in Commentaire de la LTF, 3e éd. 2022, n° 60 ad art. 81 LTF , s'agissant de la question des conclusions civiles après un jugement au fond). Enfin, par ordonnance du 15 novembre 2021, la recourante a été renvoyée à agir par la voie civile s'agissant de ses prétentions civiles (ch. 6 du dispositif), point du dispositif qui n'a pas été remis en cause et est entré en force, ainsi que le relève l'intéressée.</w:t>
      </w:r>
    </w:p>
    <w:p>
      <w:r>
        <w:t>En définitive, la recourante échoue à démontrer que la décision entreprise aurait des effets sur le jugement de ses prétentions civiles.</w:t>
      </w:r>
    </w:p>
    <w:p>
      <w:r>
        <w:rPr>
          <w:b/>
        </w:rPr>
        <w:t>E. 1.4</w:t>
      </w:r>
    </w:p>
    <w:p>
      <w:r>
        <w:t>La recourante ne fournit aucune explication quant à l'intérêt juridique actuel qu'elle aurait, dans la configuration d'espèce, à contester l'annulation de la condamnation de C.________ au paiement d'une créance compensatrice, ainsi que la levée du séquestre des avoirs sur le compte ouvert au nom de D.________ Ltd. Elle ne précise ni le fondement, ni le montant dont elle réclamerait, cas échéant, l'allocation. Elle n'a pas contesté l'ordonnance de classement en tant qu'elle retenait que les conditions de l'allocation au lésé au sens de l' art. 73 al. 1 CP n'étaient pas réunies.</w:t>
      </w:r>
    </w:p>
    <w:p>
      <w:r>
        <w:t>Au vu des considérations qui précèdent, et dans la mesure où le ch. 5 de l'ordonnance de classement - renvoyant la recourante à agir auprès de l'autorité compétente s'agissant de l'allocation au lésé -, est entré en force, il est douteux que la recourante démontre à satisfaction de droit sa qualité pour recourir sous cet angle (cf. sur la qualité pour recourir du lésé au sens de l' art. 73 CP qui se plaint d'une violation de cette disposition, arrêts 6B_878/2021 du 24 octobre 2022 consid. 15; 6B_720/2021 du 11 mars 2022 consid. 1.2; 6B_1065/2017 du 17 mai 2019 consid. 1.1, non publié aux ATF 145 IV 237 consid. 1.2; cf. également ATF 136 IV 29 consid. 1.9; cf. également RETO WEILENMANN, Drittgeschädigte Personen im Strafverfahren, 2020, n°s 684 ss et 694 s.).</w:t>
      </w:r>
    </w:p>
    <w:p>
      <w:r>
        <w:rPr>
          <w:b/>
        </w:rPr>
        <w:t>E. 1.5</w:t>
      </w:r>
    </w:p>
    <w:p>
      <w:r>
        <w:t>En tout état, la recourante ne dispose plus d'un intérêt juridique à l'annulation ou à la modification de la décision attaquée, au regard de la prescription (cf. arrêts 6B_707/2019 du 29 novembre 2019 consid. 2.3; 6B_927/2015 du 2 mai 2016 consid. 1; ATF 116 IV 80 consid. 2b, sur le défaut d'intérêt juridique à recourir en cas d'acquisition de la prescription), question qu'il convient d'examiner d'office à chaque étape de la procédure ( ATF 139 IV 62 consid. 1 et les références citées; arrêts 6B_707/2019 du 29 novembre 2019 consid. 3).</w:t>
      </w:r>
    </w:p>
    <w:p>
      <w:r>
        <w:t>La recourante sollicite le prononcé d'une créance compensatrice en invoquant une violation, par la cour cantonale, des art. 70 al. 1 et 71 CP concernant les conditions de la confiscation, respectivement de la créance compensatrice. Or, l' art. 70 al. 3 CP (cf. art. 59 ch. 1 al. 3 aCP en vigueur jusqu'au 31 décembre 2006) prévoit que le droit d'ordonner la confiscation de valeurs se prescrit par sept ans, à moins que la poursuite de l'infraction en cause ne soit soumise à une prescription d'une durée plus longue; celle-ci étant alors applicable. Les règles générales sur la prescription de l'action pénale sont applicables par analogie à la question du point de départ et de la fin du délai de prescription du droit de confisquer et donc à celui de prononcer une créance compensatrice (cf. ATF 141 IV 305 consid. 1.4 p. 309 s. et les références citées; arrêt 6B_67/2019 du 16 décembre 2020 consid. 5.11.2 et 6.6.4; cf. arrêt 6B_178/2019 1er avril 2020 consid. 4.1.2 non publié in ATF 146 IV 201 ). En l'occurrence, il est établi et incontesté que le comportement litigieux, faisant l'objet de la procédure ouverte pour diminution effective de l'actif au préjudice des créanciers ( art. 164 CP ), a eu lieu entre le 20 septembre 2006 et le 15 juin 2007 (cf. arrêt entrepris let. B.i et C; mémoire de recours ch. 42). Le délai de prescription de 15 ans de l'action pénale (art. 97 al. 1 let. b</w:t>
      </w:r>
    </w:p>
    <w:p>
      <w:r>
        <w:t>cum</w:t>
      </w:r>
    </w:p>
    <w:p>
      <w:r>
        <w:t>art. 164 CP ), applicable en matière de confiscation ( art. 70 al. 3 CP ) est dès lors arrivé à échéance au plus tard en juin 2022. Le droit d'ordonner la confiscation, respectivement de prononcer une créance compensatrice est en conséquence prescrit.</w:t>
      </w:r>
    </w:p>
    <w:p>
      <w:r>
        <w:t>Sur ce point, c'est en vain que la recourante se prévaut de l'arrêt 6B_178/2019 précité consid. 4.1 (non publié in ATF 146 IV 201 ), assimilant le prononcé de confiscation rendu dans le cadre d'une procédure pénale administrative ( art. 70 DPA ;</w:t>
      </w:r>
    </w:p>
    <w:p>
      <w:r>
        <w:t>Einziehungsverfügung ) à un jugement de première instance au sens de l' art. 97 al. 3 CP (cf. art. 70 al. 3 aCP en vigueur jusqu'au 31 décembre 2006), contrairement à l'ordonnance spéciale de confiscation ( art. 66 DPA ,</w:t>
      </w:r>
    </w:p>
    <w:p>
      <w:r>
        <w:t>selbständiger Einziehungsbescheid ), qui n'interrompt pas la prescription. De jurisprudence constante, une ordonnance de classement ne constitue pas un jugement de première instance ayant pour effet d'interrompre la prescription (cf. arrêts 6B_479/2018 du 19 juillet 2019 consid. 2.4.2; 6B_565/2019 du 12 juin 2019 consid. 3; 6B_927/2015 du 2 mai 2016 consid. 1).</w:t>
      </w:r>
    </w:p>
    <w:p>
      <w:r>
        <w:rPr>
          <w:b/>
        </w:rPr>
        <w:t>E. 1.6</w:t>
      </w:r>
    </w:p>
    <w:p>
      <w:r>
        <w:t>Il découle de ce qui précède que la recourante ne dispose pas d'un intérêt juridique actuel à la contestation de l'arrêt attaqué.</w:t>
      </w:r>
    </w:p>
    <w:p>
      <w:r>
        <w:rPr>
          <w:b/>
        </w:rPr>
        <w:t>E. 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2.1</w:t>
      </w:r>
    </w:p>
    <w:p>
      <w:r>
        <w:t>Sous couvert d'une violation de son droit d'être entendue ( art. 29 al. 2 Cst. ), la recourante fait valoir qu'en considérant les intimés comme deux personnes distinctes, la cour cantonale n'aurait pas établi les faits permettant de trancher leur qualité pour recourir. Or ce grief porte plus sur la pertinence de la motivation de la cour cantonale (laquelle examine la qualité pour agir des intéressés selon les points attaqués dans l'ordonnance querellée et exclut le moyen tiré de l'irrecevabilité du recours soulevé par la recourante; arrêt entrepris consid. 1.2 à 1.4), que sur une carence consacrant un déni de justice formel. Son moyen est dès lors irrecevable (cf. arrêts 6B_588/2019 du 11 novembre 2019 consid. 3; 6B_711/2019 du 25 juin 2019 consid. 2.4; ATF 129 I 217 consid. 1.4).</w:t>
      </w:r>
    </w:p>
    <w:p>
      <w:r>
        <w:rPr>
          <w:b/>
        </w:rPr>
        <w:t>E. 2.2</w:t>
      </w:r>
    </w:p>
    <w:p>
      <w:r>
        <w:t>Se plaignant également d'un déni de justice formel ( art. 29 al. 1 Cst. ), la recourante reproche à la cour cantonale d'avoir retenu que la condition de la bonne foi de l'intimé (cf. art. 71 al. 1</w:t>
      </w:r>
    </w:p>
    <w:p>
      <w:r>
        <w:t>cum</w:t>
      </w:r>
    </w:p>
    <w:p>
      <w:r>
        <w:t>art. 70 al. 2 CP ) n'avait pas été remise en question, alors même qu'elle avait soulevé cet aspect à plusieurs reprises. Son moyen est indissociable du fond de la cause, de sorte qu'il est irrecevable.</w:t>
      </w:r>
    </w:p>
    <w:p>
      <w:r>
        <w:rPr>
          <w:b/>
        </w:rPr>
        <w:t>E. 3</w:t>
      </w:r>
    </w:p>
    <w:p>
      <w:r>
        <w:t>En tant que la recourante s'en prend au dispositif de l'arrêt entrepris qui renvoie la cause au ministère public pour la fixation d'une indemnité au sens de l' art. 434 CPP , elle ne consacre aucun développement à la recevabilité de son recours sur ce point, et les conditions de recevabilité ne ressortent pas à l'évidence de l'arrêt attaqué ( art. 42 al. 2 LTF ). Le recours doit donc également être déclaré irrecevable sous cet angle (cf. art. 92 et 93 LTF ; ATF 138 I 143 consid. 1.2 p. 148; arr êts 6B_1432/2021 du 29 mars 2022 consid. 3.2; 6B_126/2022 du 23 février 2022 consid. 2.2).</w:t>
      </w:r>
    </w:p>
    <w:p>
      <w:r>
        <w:rPr>
          <w:b/>
        </w:rPr>
        <w:t>E. 4</w:t>
      </w:r>
    </w:p>
    <w:p>
      <w:r>
        <w:t>Au vu de ce qui précède, le recours doit être déclaré irrecevable. La recourante, qui succombe, supporte les frais judiciaires (art. 65 al. 2 et 66 al. 1 LTF). Les intimés ont été invités à se déterminer sur la requête d'effet suspensif, laquelle a été admise par ordonnance du 7 juillet 2022. Ils ne sauraient ainsi obtenir des dépens à cet égard. Le sort du recours exclut également d'allouer des dépens à la recourante à ce titre. Il sera ainsi statué sans dépens (cf. arrêts 6B_865/2015 du 10 octobre 2016 consid. 6; 6B_2/2014 du 26 juin 2014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