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738/2023 vom 19. Juni 2023</w:t>
      </w:r>
    </w:p>
    <w:p>
      <w:r>
        <w:t>Bundesgericht, 2023-06-19, DE</w:t>
      </w:r>
    </w:p>
    <w:p>
      <w:r>
        <w:rPr>
          <w:b/>
        </w:rPr>
        <w:t xml:space="preserve">Quelle: </w:t>
      </w:r>
      <w:r>
        <w:t>https://mcp.opencaselaw.ch/entscheid/bger_6B_738_2023</w:t>
      </w:r>
    </w:p>
    <w:p>
      <w:r>
        <w:t>FR: TF 6B 738/2023 du 19 juin 2023</w:t>
      </w:r>
    </w:p>
    <w:p>
      <w:r>
        <w:t>IT: TF 6B 738/2023 del 19 giugno 2023</w:t>
      </w:r>
    </w:p>
    <w:p>
      <w:pPr>
        <w:pStyle w:val="Heading2"/>
      </w:pPr>
      <w:r>
        <w:t>Regeste</w:t>
      </w:r>
    </w:p>
    <w:p>
      <w:r>
        <w:t>Gesuch um Stundung von Gerichtsgebühren; Mahnsperre; Gegenstandslosigkeit; Rückzug | Strafprozess</w:t>
      </w:r>
    </w:p>
    <w:p>
      <w:pPr>
        <w:pStyle w:val="Heading2"/>
      </w:pPr>
      <w:r>
        <w:t>Erwägungen</w:t>
      </w:r>
    </w:p>
    <w:p>
      <w:r>
        <w:rPr>
          <w:b/>
        </w:rPr>
        <w:t>E. 1</w:t>
      </w:r>
    </w:p>
    <w:p>
      <w:r>
        <w:t>Der Beschwerdeführer erhob gegen die Verfügung des Appellationsgerichts des Kantons Basel-Stadt vom 20. März 2023 (betreffend Aufhebung Mahnsperre und Gesuchsabweisung) Beschwerde in Strafsachen. Am 5. Juni 2023 verfügte das Appellationsgericht des Kantons Basel-Stadt neu, dass aufgrund des Kostenerlassgesuchs vom 30. Mai 2023 die Forderung noch einmal gestundet werde. Mit dem Erlass der Verfügung vom 5. Juni 2023 erweist sich die Verfügung vom 20. März 2023 als überholt. Der Beschwerdeführer hat gestützt darauf die Beschwerde vom 28. März 2023 am 9. Juni 2023 zurückgezogen. Sie ist damit als gegenstandslos geworden vom Geschäftsverzeichnis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