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6B_737/2010 vom 1. Februar 2011</w:t>
      </w:r>
    </w:p>
    <w:p>
      <w:r>
        <w:t>Bundesgericht, 2011-02-01, DE</w:t>
      </w:r>
    </w:p>
    <w:p>
      <w:r>
        <w:rPr>
          <w:b/>
        </w:rPr>
        <w:t xml:space="preserve">Quelle: </w:t>
      </w:r>
      <w:r>
        <w:t>https://mcp.opencaselaw.ch/entscheid/bger_6B_737_2010</w:t>
      </w:r>
    </w:p>
    <w:p>
      <w:r>
        <w:t>FR: TF 6B_737/2010 du 1 février 2011</w:t>
      </w:r>
    </w:p>
    <w:p>
      <w:r>
        <w:t>IT: TF 6B_737/2010 del 1 febbraio 2011</w:t>
      </w:r>
    </w:p>
    <w:p>
      <w:pPr>
        <w:pStyle w:val="Heading2"/>
      </w:pPr>
      <w:r>
        <w:t>Erwägungen</w:t>
      </w:r>
    </w:p>
    <w:p>
      <w:r>
        <w:rPr>
          <w:b/>
        </w:rPr>
        <w:t>E. 1</w:t>
      </w:r>
    </w:p>
    <w:p>
      <w:r>
        <w:t>Der Beschwerdeführer sandte dem Verleger einer Zürcher B.________zeitung am 19. Oktober 2008 eine E-Mail mit folgendem (hier abgekürzten) Wortlaut:</w:t>
      </w:r>
    </w:p>
    <w:p>
      <w:r>
        <w:t>"Betreff: A.________ Nazi-Kapriolen</w:t>
      </w:r>
    </w:p>
    <w:p>
      <w:r>
        <w:t>[...] Es darf doch einfach nicht sein, dass der Redaktor ihres Blattes - wenn auch nur indirekt - das Dritte Reich unwidersprochen verteidigt [...]</w:t>
      </w:r>
    </w:p>
    <w:p>
      <w:r>
        <w:t>Zudem ist es nicht ausgeschlossen, dass Ihr A.________ hinter der Beschädigung meines 'Judenautos' im August 2006 steckt. Zumal es schon 2002 Drohungen aus diesen Kreisen gegen meine Fahrzeuge gab. [...]"</w:t>
      </w:r>
    </w:p>
    <w:p>
      <w:r>
        <w:t>Zur selben Zeit unterstellte der Beschwerdeführer, der sich im Jahre 2008 erfolglos für ein politisches Amt in der Stadt Zürich aufstellen liess und in der besagten B.________zeitung seiner Meinung nach zu Unrecht nicht als Kandidat porträtiert worden war, auf seiner Internetseite dem Beschwerdegegner Sympathien für nationalsozialistische Ideologien. Das Bezirksgericht Zürich sprach den Beschwerdeführer mit Entscheid vom 22. Juni 2009 der mehrfachen üblen Nachrede schuldig. Auf Berufung des Beschwerdeführers bestätigte das Obergericht des Kantons Zürich am 25. Februar 2010 das erstinstanzliche Urteil. Eine dagegen erhobene Beschwerde in Strafsachen wies das Bundesgericht ab, soweit es darauf eintrat (Urteil 6B_431/2010 vom 24. September 2010).</w:t>
      </w:r>
    </w:p>
    <w:p>
      <w:r>
        <w:rPr>
          <w:b/>
        </w:rPr>
        <w:t>E. 2.1</w:t>
      </w:r>
    </w:p>
    <w:p>
      <w:r>
        <w:t>Der Beschwerdeführer wirft der Vorinstanz eine willkürliche Beweiswürdigung ( Art. 9 BV ) vor.</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w:t>
      </w:r>
    </w:p>
    <w:p>
      <w:r>
        <w:t>Wird die Verletzung von Grundrechten (einschliesslich der willkürlichen Anwendung von kantonalem Recht und Willkür bei der Sachverhaltsfeststellung) gerügt, gelten qualifizierte Anforderungen an die Begründung. Dies prüft das Bundesgericht nicht von Amtes wegen, sondern nur, wenn eine solche Rüge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135 III 232 E. 1.2 S. 234; je mit Hinweisen).</w:t>
      </w:r>
    </w:p>
    <w:p>
      <w:r>
        <w:rPr>
          <w:b/>
        </w:rPr>
        <w:t>E. 2.3</w:t>
      </w:r>
    </w:p>
    <w:p>
      <w:r>
        <w:t>Unbestritten ist, dass der Beschwerdeführer Urheber der E-Mail vom 19. Oktober 2008 ist. Die Vorinstanz legt ihm zur Last, dem Beschwerdegegner dadurch Sympathien respektive eine gewisse Nähe zum nationalsozialistischen Regime zu unterstellen. Er habe in Bezug auf die Ehrenrührigkeit seiner E-Mail und die Kenntnisnahme durch ihre Empfänger mit direktem Vorsatz gehandelt. Dass der Beschwerdegegner tatsächlich mit nationalsozialistischem Gedankengut eng verbunden wäre, habe der Beschwerdeführer nicht bewiesen und gehe auch nicht aus den Akten hervor. Die Äusserungen seien deshalb unwahr. Obwohl sich der Beschwerdegegner bereits im Jahre 2007 im Editorial der B.________zeitung deutlich gegen Neofaschisten, Antisemiten und "Ultranationalisten" geäussert habe, habe der Beschwerdegegner als Ehrverletzungskläger nicht bewiesen, dass der Beschwerdeführer von diesem Artikel Kenntnis gehabt habe. Deshalb sei die inkriminierte E-Mail nicht wider besseres Wissen verfasst worden und die Tat somit nicht als Verleumdung zu qualifizieren. Gleichzeitig habe der Beschwerdeführer jedoch nicht in guten Treuen davon ausgehen dürfen, der Beschwerdegegner sei nationalsozialistisch eingestellt. Mithin sei ihm der Gutglaubensbeweis im Sinne von Art. 173 Ziff. 2 StGB nicht gelungen (angefochtener Entscheid S. 5 ff.).</w:t>
      </w:r>
    </w:p>
    <w:p>
      <w:r>
        <w:rPr>
          <w:b/>
        </w:rPr>
        <w:t>E. 2.4</w:t>
      </w:r>
    </w:p>
    <w:p>
      <w:r>
        <w:t>Der Beschwerdeführer beschränkt sich darauf, der Würdigung der Vorinstanz einzig seine eigene Sicht der Dinge gegenüberzustellen, ohne zu erörtern, inwiefern der angefochtene Entscheid (auch) im Ergebnis verfassungswidrig sein sollte. Dies ist zum einen der Fall, soweit er die vorinstanzlichen Erwägungen betreffend die Unwahrheit der inkriminierten Äusserungen kritisiert (angefochtenes Urteil S. 10-12; Beschwerde S. 6-8), zum anderen, soweit er sich gegen den laut Vorinstanz nicht erbrachten Gutglaubensbeweis richtet (angefochtener Entscheid S. 16-20; Beschwerde S. 8-11). Ebenso erschöpfen sich seine Ausführungen in unzulässiger appellatorischer Kritik, indem er betreffend die Ehrenrührigkeit seiner E-Mail ein vorsätzliches Handeln sinngemäss verneint. Der Beschwerdeführer führt wiederholt aus, er habe sich mit der E-Mail vom 19. Oktober 2008 nicht wegen einer im B.________anzeiger verweigerten Plattform rächen wollen (Beschwerde S. 5 und 10 sowie Ergänzung zur Beschwerde S. 1). Dieses Vorbringen ist offensichtlich nicht geeignet, Willkür in der vorinstanzlichen Beweiswürdigung darzutun (vgl. zum Begriff der Willkür BGE 135 V 2 E. 1.3 S. 4 f. mit Hinweisen). Der Beschwerdeführer macht weiter eine willkürliche Beweiswürdigung geltend, da gestützt auf den Artikel des Beschwerdegegners im B.________anzeiger vom 6. September 2008 nicht geschlossen werden könne, dass der Beschwerdegegner nicht "nazifreundlich" sei (Beschwerde S. 9). Er verkennt, dass die Vorinstanz solches ebenfalls feststellt und ausserdem darlegt, dass dieser Artikel den ihm auferlegten Gutglaubensbeweis nicht untermauere (angefochtener Entscheid S. 18 f.). Damit setzt sich der Beschwerdeführer nicht auseinander. Seine Ausführungen gehen zudem an der Sache vorbei, sind teilweise in sich widersprüchlich (vgl. Beschwerde S. 7) und aktenwidrig, indem er beispielsweise in Abrede stellt, das Verhalten des Beschwerdegegners als antisemitisch bezeichnet zu haben. Solches geht aus der eingehenden Befragung durch den erstinstanzlichen Richter hervor (Beschwerde S. 7; vgl. Protokoll der erstinstanzlichen Hauptverhandlung S. 20). Inwiefern die Beweismittel von der Vorinstanz willkürlich gewürdigt worden seien und das vorinstanzliche Beweisergebnis schlechterdings nicht mehr vertretbar sein sollte, legt der Beschwerdeführer nicht dar. Seine Vorbringen genügen den qualifizierten Begründungsanforderungen gemäss Art. 106 Abs. 2 BGG nicht, weshalb auf die Beschwerde nicht einzutreten ist.</w:t>
      </w:r>
    </w:p>
    <w:p>
      <w:r>
        <w:t>Soweit der Beschwerdeführer lediglich in allgemeiner Art eine Verletzung des rechtlichen Gehörs, des Rechts auf Gleichbehandlung, der Unschuldsvermutung sowie des Grundsatzes von Treu und Glauben rügt (vgl. Beschwerde S. 4, 6, 7, 8 und 9 sowie Ergänzung der Beschwerde S. 2 und 3), genügt die Beschwerde den Begründungsanforderungen ebenfalls nicht ( Art. 106 Abs. 2 BGG ). Darauf ist nicht einzutreten.</w:t>
      </w:r>
    </w:p>
    <w:p>
      <w:r>
        <w:rPr>
          <w:b/>
        </w:rPr>
        <w:t>E. 3</w:t>
      </w:r>
    </w:p>
    <w:p>
      <w:r>
        <w:t>Bei diesem Verfahrensausgang sind die bundesgerichtlichen Kosten dem Beschwerdeführer aufzuerlegen ( Art. 66 Abs. 1 Satz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