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735/2023 vom 26. Juni 2023</w:t>
      </w:r>
    </w:p>
    <w:p>
      <w:r>
        <w:t>Bundesgericht, 2023-06-26, DE</w:t>
      </w:r>
    </w:p>
    <w:p>
      <w:r>
        <w:rPr>
          <w:b/>
        </w:rPr>
        <w:t xml:space="preserve">Quelle: </w:t>
      </w:r>
      <w:r>
        <w:t>https://mcp.opencaselaw.ch/entscheid/bger_6B_735_2023</w:t>
      </w:r>
    </w:p>
    <w:p>
      <w:r>
        <w:t>FR: TF 6B 735/2023 du 26 juin 2023</w:t>
      </w:r>
    </w:p>
    <w:p>
      <w:r>
        <w:t>IT: TF 6B 735/2023 del 26 giugno 2023</w:t>
      </w:r>
    </w:p>
    <w:p>
      <w:pPr>
        <w:pStyle w:val="Heading2"/>
      </w:pPr>
      <w:r>
        <w:t>Regeste</w:t>
      </w:r>
    </w:p>
    <w:p>
      <w:r>
        <w:t>Nichtanhandnahme, Sicherheitsleistung; Nichteintreten | Strafprozess</w:t>
      </w:r>
    </w:p>
    <w:p>
      <w:pPr>
        <w:pStyle w:val="Heading2"/>
      </w:pPr>
      <w:r>
        <w:t>Erwägungen</w:t>
      </w:r>
    </w:p>
    <w:p>
      <w:r>
        <w:rPr>
          <w:b/>
        </w:rPr>
        <w:t>E. 1</w:t>
      </w:r>
    </w:p>
    <w:p>
      <w:r>
        <w:t>Das Untersuchungsamt Uznach nahm das vom Beschwerdeführer angestrebte Strafverfahren am 30. März 2023 nicht an die Hand. Auf die dagegen eingereichte Beschwerde vom 15. April 2023 trat die Anklagekammer des Kantons St. Gallen am 17. Mai 2023 androhungsgemäss mangels Leistung der geforderten Prozesskostensicherheit nicht ein. Der Beschwerdeführer wendet sich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Die Beschwerdeeingabe genügt nicht den gesetzlichen Begründungsanforderungen. Der Beschwerdeführer nimmt Bezug auf die materielle Seite der Angelegenheit, die nicht Verfahrensgegenstand ist und womit sich das Bundesgericht nicht befassen kann. Mit dem angefochtenen Beschluss setzt er sich nicht im Ansatz auseinander und legt nicht dar, dass und inwiefern das Nichteintreten der Anklagekammer mangels Leistung der Prozesskostensicherheit verfassungs- oder sonst wie bundesrechtswidrig sein soll. Aus der Beschwerdeeingabe ergibt sich mithin nicht, dass und inwiefern die Anklagekammer mit ihrem Beschluss gegen das Recht im Sinne von Art. 95 BGG verstossen haben könnte. Darauf ist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