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6B_735/2021 vom 8. September 2021</w:t>
      </w:r>
    </w:p>
    <w:p>
      <w:r>
        <w:t>Bundesgericht, 2021-09-08, FR</w:t>
      </w:r>
    </w:p>
    <w:p>
      <w:r>
        <w:rPr>
          <w:b/>
        </w:rPr>
        <w:t xml:space="preserve">Quelle: </w:t>
      </w:r>
      <w:r>
        <w:t>https://mcp.opencaselaw.ch/entscheid/bger_6B_735_2021</w:t>
      </w:r>
    </w:p>
    <w:p>
      <w:r>
        <w:t>FR: TF 6B_735/2021 du 8 septembre 2021</w:t>
      </w:r>
    </w:p>
    <w:p>
      <w:r>
        <w:t>IT: TF 6B_735/2021 del 8 settembre 2021</w:t>
      </w:r>
    </w:p>
    <w:p>
      <w:pPr>
        <w:pStyle w:val="Heading2"/>
      </w:pPr>
      <w:r>
        <w:t>Erwägungen</w:t>
      </w:r>
    </w:p>
    <w:p>
      <w:r>
        <w:rPr>
          <w:b/>
        </w:rPr>
        <w:t>E. 1</w:t>
      </w:r>
    </w:p>
    <w:p>
      <w:r>
        <w:t>Le recours en matière pénale est ouvert à l'encontre des décisions concernant l'exécution de peines et de mesures ( art. 78 al. 2 let. b LTF ).</w:t>
      </w:r>
    </w:p>
    <w:p>
      <w:r>
        <w:t>Le recours en matière pénale suppose que le recourant fasse valoir qu'il dispose d'un intérêt juridique à l'annulation ou à la modification de la décision attaquée ( art. 81 al. 1 let. b LTF ); un intérêt général ou de fait est insuffisant ( ATF 133 IV 228 consid. 2.3 p. 230 s.). Selon la jurisprudence constante, le détenu n'a pas, en principe, le droit de choisir le lieu de l'exécution de la sanction (arrêts 6B_832/2018 du 22 octobre 2018 consid. 1; 6B_80/2014 du 20 mars 2014 consid. 1.2; 6B_530/2012 du 19 décembre 2012 consid. 1; 6B_602/2012 du 18 décembre 2012 consid. 1; 6B_660/2011 du 23 février 2012 consid. 1.2). On peut toutefois admettre, dans la mesure où le recourant soutient que son transfert impliquerait notamment une violation des art. 3 CEDH , 10 et 13 Cst., qu'il peut se prévaloir d'un intérêt juridiquement protégé (cf. déjà, s'agissant du recourant, en lien avec l' art. 10 Cst. : arrêt 6B_832/2018 précité consid. 1).</w:t>
      </w:r>
    </w:p>
    <w:p>
      <w:r>
        <w:rPr>
          <w:b/>
        </w:rPr>
        <w:t>E. 2</w:t>
      </w:r>
    </w:p>
    <w:p>
      <w:r>
        <w:t>Dans un premier moyen, le recourant invoque les art. 29 al. 2 Cst. et 3 al. 2 let. c CPP, ainsi que l' art. 6 CEDH , et soutient que son droit d'être entendu aurait été violé. Il fait valoir que l'arrêt attaqué serait insuffisamment motivé.</w:t>
      </w:r>
    </w:p>
    <w:p>
      <w:r>
        <w:rPr>
          <w:b/>
        </w:rPr>
        <w:t>E. 2.1</w:t>
      </w:r>
    </w:p>
    <w:p>
      <w:r>
        <w:t>Le droit d'être entendu, tel qu'il est garanti par les dispositions précitées,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w:t>
      </w:r>
    </w:p>
    <w:p>
      <w:r>
        <w:rPr>
          <w:b/>
        </w:rPr>
        <w:t>E. 2.2</w:t>
      </w:r>
    </w:p>
    <w:p>
      <w:r>
        <w:t>En l'espèce, le recourant soutient que la motivation de l'arrêt attaqué serait insuffisante, dans la mesure où elle ne lui permettrait pas de discerner clairement quel comportement, en marge des reproches prétendument généraux concernant une attitude dangereuse face aux règles sanitaires liées à la pandémie actuellement en cours, lui est reproché. Il ressort cependant de l'arrêt attaqué ( art. 105 al. 1 LTF ) que selon le constat de la Direction de l'EEPB, le recourant a adopté, depuis le début de la pandémie, une attitude oppositionnelle, revendicatrice et peu constructive, empêchant cette dernière de maintenir une relation de confiance. On comprend ainsi parfaitement que l'attitude générale du recourant face aux mesures sanitaires, dont l'importance particulière en milieu carcéral s'impose comme une évidence, a été pointée du doigt. L'absence de sanctions disciplinaires dont se prévaut le recourant n'y change rien, dès lors qu'elle n'est pas en soi de nature à infirmer le constat précité. C'est donc en vain que le recourant se prévaut d'un prétendu défaut de motivation affectant l'arrêt attaqué. Son grief doit ainsi être rejeté.</w:t>
      </w:r>
    </w:p>
    <w:p>
      <w:r>
        <w:rPr>
          <w:b/>
        </w:rPr>
        <w:t>E. 3</w:t>
      </w:r>
    </w:p>
    <w:p>
      <w:r>
        <w:t>Dans un deuxième moyen, le recourant se plaint d'arbitraire ( art. 9 Cst. ) dans l'établissement de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cf. ATF 143 IV 241 consid. 2.3.1 p. 244).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146 IV 114 consid. 2.1 p. 118; 145 IV 154 consid. 1.1 p. 156).</w:t>
      </w:r>
    </w:p>
    <w:p>
      <w:r>
        <w:rPr>
          <w:b/>
        </w:rPr>
        <w:t>E. 3.2</w:t>
      </w:r>
    </w:p>
    <w:p>
      <w:r>
        <w:t>En l'espèce, le recourant soutient que la cour cantonale aurait versé dans l'arbitraire en omettant de constater qu'il n'avait fait l'objet d'aucune sanction disciplinaire et qu'il s'était opposé à son transfert hors du canton de Vaud. Il lui reproche en outre d'avoir passé sous silence la teneur du rapport rendu le 20 août 2020 par la criminologue de l'EEPB, dont il ressort qu'il continuait de donner satisfaction au sein de l'atelier et demeurait parfaitement intégré au niveau cellulaire, tout en préconisant un placement dans un cadre plus souple ou plus responsabilisant. Sur ce point également, le recourant ne peut rien tirer en sa faveur de l'absence de sanction disciplinaire dont il se prévaut. Contrairement à ce qu'il semble penser, cet élément n'est pas intrinsèquement pertinent au regard des éléments mis en avant par la cour cantonale s'agissant de l'attitude générale du recourant. En outre, l'arrêt attaqué fait explicitement état du rapport du 20 août 2020 auquel le recourant se réfère, qui n'a donc pas été passé sous silence. Il y est au demeurant invité à collaborer avec les intervenants pour permettre une éventuelle évolution de sa situation pénale (cf. supra D.d i. f.). On ne discerne pas, en définitive, d'élément devant conduire à considérer que la cour cantonale aurait apprécié les preuves ou établi les faits de manière insoutenable. Le grief d'arbitraire doit donc lui aussi être rejeté, dans la mesure de sa recevabilité.</w:t>
      </w:r>
    </w:p>
    <w:p>
      <w:r>
        <w:rPr>
          <w:b/>
        </w:rPr>
        <w:t>E. 4</w:t>
      </w:r>
    </w:p>
    <w:p>
      <w:r>
        <w:t>Le recourant invoque ensuite une violation des art. 75 al. 1 CP et 3 CEDH. Il soutient que son transfert s'inscrit en contradiction avec les objectifs poursuivis au travers de l' art. 75 al. 1 CP et qu'il revêt un caractère humiliant et dégradant, contraire à l' art. 3 CEDH .</w:t>
      </w:r>
    </w:p>
    <w:p>
      <w:r>
        <w:rPr>
          <w:b/>
        </w:rPr>
        <w:t>E. 4.1</w:t>
      </w:r>
    </w:p>
    <w:p>
      <w:r>
        <w:t>D'après l' art. 74 CP , le détenu et la personne exécutant une mesure ont droit au respect de leur dignité. L'exercice de leurs droits ne peut être restreint que dans la mesure requise par la privation de liberté et par les exigences de la vie collective dans l'établissement. L' art. 75 al. 1 CP prévoit pour sa part que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rPr>
          <w:b/>
        </w:rPr>
        <w:t>E. 4.2</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w:t>
      </w:r>
    </w:p>
    <w:p>
      <w:r>
        <w:t>Selon une jurisprudence bien établie de la Cour européenne des droits de l'Homme, le prononcé d'une peine d'emprisonnement à vie contre un délinquant adulte n'est pas en soi prohibé par l'article 3 CEDH ou une autre disposition de la Convention et ne se heurte pas à celle-ci, à condition qu'elle ne soit pas nettement disproportionnée (arrêts CourEDH [Grande Chambre]</w:t>
      </w:r>
    </w:p>
    <w:p>
      <w:r>
        <w:t>Murray c. Pays-Bas du 26 avril 2016 [Req. n° 10511/10], § 99-100;</w:t>
      </w:r>
    </w:p>
    <w:p>
      <w:r>
        <w:t>Vinter et autres c. Royaume-Uni du 9 juillet 2013 [Req. n° 66069/09, 130/10 et 3896/10], § 102 ss). Aucune question ne se pose sous l'angle de l' art. 3 CEDH si une peine perpétuelle est compressible</w:t>
      </w:r>
    </w:p>
    <w:p>
      <w:r>
        <w:t>de jure et</w:t>
      </w:r>
    </w:p>
    <w:p>
      <w:r>
        <w:t>de facto , c'est-à-dire qu'elle doit offrir une perspective d'élargissement et une possibilité de réexamen (arrêts CourEDH [Grande Chambre]</w:t>
      </w:r>
    </w:p>
    <w:p>
      <w:r>
        <w:t>Hutchinson c. Royaume-Uni du 17 janvier 2017 [Req. n° 57592/08], § 42;</w:t>
      </w:r>
    </w:p>
    <w:p>
      <w:r>
        <w:t>Murray c. Pays Bas précité, loc. cit.;</w:t>
      </w:r>
    </w:p>
    <w:p>
      <w:r>
        <w:t>Vinter et autres précité, § 108). Les détenus à vie doivent se voir offrir la possibilité de s'amender et la perspective d'être mis en liberté s'ils y parviennent (arrêts</w:t>
      </w:r>
    </w:p>
    <w:p>
      <w:r>
        <w:t>Murray c. Pays-Bas précité, § 101-104;</w:t>
      </w:r>
    </w:p>
    <w:p>
      <w:r>
        <w:t>Vinter et autres précité, § 112-114).</w:t>
      </w:r>
    </w:p>
    <w:p>
      <w:r>
        <w:t>Pour le Tribunal fédéral,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l'État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en outre, les mesures prises dans le cadre de la détention doivent être nécessaires pour parvenir au but légitime poursuivi. La gravité de l'atteinte est appréciée au regard de l'ensemble des données de la cause, considérées globalement, notamment de la nature et du contexte du traitement ainsi que de sa durée ( ATF 141 I 141 consid. 6.3.4; 140 I 125 consid. 3.5 p. 135 et les références citées; cf. récemment: arrêt 6B_17/2021 du 8 juillet 2021 consid. 1.1).</w:t>
      </w:r>
    </w:p>
    <w:p>
      <w:r>
        <w:t>De manière générale, la Cour européenne des droits de l'Homme souligne également qu'un mauvais traitement doit atteindre un seuil minimum de gravité pour tomber sous le coup de l'article 3 CEDH. L'appréciation de ce minimum est relative; elle dépend de l'ensemble des données de la cause, notamment de la durée du traitement et de ses effets physiques ou mentaux ainsi que, parfois, du sexe, de l'âge et de l'état de santé de la victime (cf. parmi d'autres: arrêts CourEDH [Grande Chambre]</w:t>
      </w:r>
    </w:p>
    <w:p>
      <w:r>
        <w:t>Mursic c. Croatie [Req. n° 7334/13] du 20 octobre 2016, § 97;</w:t>
      </w:r>
    </w:p>
    <w:p>
      <w:r>
        <w:t>Jalloh c. Allemagne [Req. n° 54810/00] du 11 juillet 2006, § 67). Un mauvais traitement qui atteint un tel seuil minimum de gravité implique en général des lésions corporelles ou de vives souffrances physiques ou mentales. Toutefois, même en l'absence de traitements de ce type, dès lors que le traitement humilie ou avilit un individu, témoignant d'un manque de respect pour sa dignité humaine ou la diminuant, ou qu'il suscite chez l'intéressé des sentiments de peur, d'angoisse ou d'infériorité propres à briser sa résistance morale et physique, il peut être qualifié de dégradant et tomber ainsi également sous le coup de l'interdiction énoncée à l'article 3 CEDH (cf. notamment arrêt</w:t>
      </w:r>
    </w:p>
    <w:p>
      <w:r>
        <w:t>Mursic c. Croatie précité, § 98 et les références).</w:t>
      </w:r>
    </w:p>
    <w:p>
      <w:r>
        <w:rPr>
          <w:b/>
        </w:rPr>
        <w:t>E. 4.3</w:t>
      </w:r>
    </w:p>
    <w:p>
      <w:r>
        <w:t>En l'espèce, il est constant que la décision de transfert querellée n'implique aucun changement quant au régime de détention du recourant et que le niveau de sécurité demeure identique. Ce dernier admet lui-même que ce constat est en soi correct.</w:t>
      </w:r>
    </w:p>
    <w:p>
      <w:r>
        <w:rPr>
          <w:b/>
        </w:rPr>
        <w:t>E. 4.3.1</w:t>
      </w:r>
    </w:p>
    <w:p>
      <w:r>
        <w:t>En invoquant l'arrêt</w:t>
      </w:r>
    </w:p>
    <w:p>
      <w:r>
        <w:t>Murray c. Pays-Bas pour se plaindre de l'absence d'évolution et d'ouverture de son régime carcéral, le recourant développe une argumentation sur des points qui se révèle pour l'essentiel exorbitants à l'objet du litige et dont la recevabilité s'avère ainsi douteuse, puisque celui-ci demeure quoi qu'il en soit circonscrit à la question de son transfert dans un autre établissement pénitentiaire. En tout état, il ressort de l'arrêt attaqué que le recourant persiste, y compris après le précédent arrêt rendu par le Tribunal fédéral au sujet de son transfert à l'EEPB, à refuser de participer à une démarche expertale et à une évaluation criminologique. Il a ainsi refusé de participer à l'élaboration du bilan de phase établi en mai 2020 par la Direction de l'EEPB. S'il se prévaut du préavis établi le 20 août 2020 par la criminologue de l'EEPB, en ce qu'elle évoque l'hypothèse d'un placement dans un cadre plus souple et plus responsabilisant, le recourant semble perdre de vue que ce même préavis mentionne notamment, comme déjà relevé, l'importance pour le recourant de collaborer avec les intervenants pour permettre d'objectiver la problématique du risque de récidive et de fuite et de permettre une éventuelle évolution de sa situation pénale. Ce préavis fait du reste écho à l'avis de la CIC du 7 juillet 2020, qui relevait que le recourant ne dérogeait jamais à la règle qu'il s'était fixée de refuser toute évaluation ou investigation, avant de parvenir à la conclusion que seul un maintien dans un établissement fermé avec une sécurité élevée était envisageable. Il s'ensuit que les griefs que soulève le recourant, en tant qu'ils se rapportent à son régime carcéral, doivent être rejetés dans la mesure où ils sont recevables.</w:t>
      </w:r>
    </w:p>
    <w:p>
      <w:r>
        <w:rPr>
          <w:b/>
        </w:rPr>
        <w:t>E. 4.3.2</w:t>
      </w:r>
    </w:p>
    <w:p>
      <w:r>
        <w:t>Cela étant, la cour cantonale a considéré que la décision de transfert litigieuse ne portait nullement atteinte au droit fondamental à la dignité du recourant, non seulement au regard du fait qu'elle n'impliquait aucun changement de régime de détention, mais aussi en relativisant l'argument de l'éloignement lié à une détention à l'établissement de Thorberg, à Krauchthal. La cour cantonale a relevé, en ce sens et à la suite de l'OEP, que celui-ci demeurait voisin de la Romandie et que le recourant pouvait ainsi continuer à bénéficier les visites de ses proches et de son avocat. Le recourant y voit un argument absurde en faisant valoir un trajet Lausanne-Thorberg (Krauchthal) deux fois plus long que le trajet Lausanne-Bellevue (Gorgier), lui-même plus long que le trajet Lausanne-EPO (Orbe). Il ne prétend toutefois pas que la durée du trajet dont il déplore l'allongement atteindrait une ampleur telle qu'elle représenterait un obstacle rédhibitoire pour ses visiteurs, qu'il s'agisse de ses proches ou de son conseil. La cour cantonale était en tous les cas fondée à relever que les établissements susceptibles d'accueillir des détenus de longue durée sont peu nombreux, au point qu'un trajet de plusieurs dizaines de kilomètres, voire davantage, est pratiquement inévitable. Au demeurant, la problématique de l'éloignement n'a pas été ignorée en l'espèce, puisque l'OEP a préféré éviter un transfert du recourant à l'Établissement pénitentiaire de La Stampa, dans le canton du Tessin, bien que ce canton soit membre du Concordat latin. Dans cette mesure également, le recourant ne peut rien tirer en sa faveur de l'arrêt</w:t>
      </w:r>
    </w:p>
    <w:p>
      <w:r>
        <w:t>Murray c. Pays-Bas. On ne saurait de surcroît reprocher à la cour cantonale d'avoir considéré que le recourant ne démontrait pas en quoi le transfert aurait pour but de briser la responsabilité, dès lors qu'elle a relevé à juste titre qu'il pourrait toujours bénéficier des visites de ses proches et de son avocat.</w:t>
      </w:r>
    </w:p>
    <w:p>
      <w:r>
        <w:rPr>
          <w:b/>
        </w:rPr>
        <w:t>E. 4.3.3</w:t>
      </w:r>
    </w:p>
    <w:p>
      <w:r>
        <w:t>Le recourant s'en prend également à la motivation cantonale, en ce qu'elle retient que le transfert est fondé sur des motifs pertinents. Or, c'est tout d'abord en vain que le recourant invoque, à cet égard également, l'absence de sanction disciplinaire en lien avec les reproches formulés à son endroit concernant le manque de respect des normes sanitaires en période de pandémie. Comme déjà relevé, il échoue à démontrer en quoi le constat en cause serait entaché d'arbitraire. Sur cette même base, la cour cantonale était fondée à voir un motif de transfert pertinent tenant notamment à la sécurité, en pointant l'attitude oppositionnelle et dangereuse du recourant face aux règles sanitaires, telle que mise en exergue par la Direction de l'EEPB. La cour cantonale était de surcroît fondée à souligner à son tour la nécessité d'observer la plus grande rigueur en rapport avec le respect des règles sanitaires, eu égard à la nécessité d'éviter de mettre en danger la santé du personnel, ainsi que celle des codétenus,</w:t>
      </w:r>
    </w:p>
    <w:p>
      <w:r>
        <w:t>a fortiori dans un établissement pénitentiaire fermé impliquant une certaine proximité pouvant ainsi avoir un impact prépondérant sur la santé, voire sur la vie d'autrui.</w:t>
      </w:r>
    </w:p>
    <w:p>
      <w:r>
        <w:rPr>
          <w:b/>
        </w:rPr>
        <w:t>E. 4.3.4</w:t>
      </w:r>
    </w:p>
    <w:p>
      <w:r>
        <w:t>Au-delà de ces aspects, il ressort aussi et surtout de l'arrêt attaqué que l'OEP a estimé ne pas pouvoir ignorer totalement les constats émis par la Direction de l'EEPB, qui la conduisaient à solliciter le transfert après un séjour de plus de deux ans et demi, en jugeant que le maintien du recourant au sein de l'établissement en cause paraissait contreproductif, voire délétère, la Direction de l'EEPB estimant impossible d'envisager une quelconque prise en charge efficiente pour la suite. Au vu de ces éléments, c'est à juste titre que la cour cantonale a relevé, toujours pour apprécier la pertinence des motifs du transfert, que celui-ci devait permettre d'apprécier l'évolution des capacités du recourant dans un autre cadre carcéral, en côtoyant d'autres intervenants. De même a-t-elle encore relevé que le transfert devait permettre aux autorités compétentes de mieux apprécier le risque que pourrait présenter le recourant dans le cadre d'éventuels élargissements de régime à venir. Ces derniers éléments ne prêtent pas non plus le flanc à la critique. La cour cantonale était ainsi fondée à considérer que le transfert du recourant n'était pas dénué d'intérêt public ni disproportionné au regard du but visé.</w:t>
      </w:r>
    </w:p>
    <w:p>
      <w:r>
        <w:rPr>
          <w:b/>
        </w:rPr>
        <w:t>E. 4.3.5</w:t>
      </w:r>
    </w:p>
    <w:p>
      <w:r>
        <w:t>En définitive, les éléments précités permettaient à la cour cantonale de confirmer la décision de transfert sans violer l' art. 75 al. 1 CP ni sans porter atteinte au droit fondamental à la dignité du recourant, tel que garanti par l' art. 3 CEDH . Il s'ensuit que les griefs soulevés par le recourant sous cet angle doivent être rejetés.</w:t>
      </w:r>
    </w:p>
    <w:p>
      <w:r>
        <w:rPr>
          <w:b/>
        </w:rPr>
        <w:t>E. 5</w:t>
      </w:r>
    </w:p>
    <w:p>
      <w:r>
        <w:t>Le recourant invoque encore une violation des art. 6 CEDH , 10, 13 et 18 Cst., ainsi qu'une violation de l' art. 28 CC . Il soutient à cet égard que son transfert dans une prison bernoise, "à plus d'une demi-heure du premier bastion francophone", constitue une atteinte à sa personnalité, tant en raison de l'éloignement de l'établissement concerné, de la langue et du contexte du transfert.</w:t>
      </w:r>
    </w:p>
    <w:p>
      <w:r>
        <w:t>L'argumentation que développe le recourant sous cet angle, en particulier en invoquant l' art. 10 al. 2 Cst. , se recoupe, s'agissant de la question de l'éloignement et du contexte du transfert, avec les motifs discutés plus haut, auxquels il y a lieu de renvoyer. Pour ces mêmes motifs, les griefs que le recourant soulèvent en invoquant une violation de son droit au respect de sa vie privée et familiale ( art. 13 al. 1 Cst. ) ou en invoquant l' art. 6 CEDH en rapport avec sa possibilité d'entretenir des contacts avec ses proches et son avocat se révèlent infondés, si tant est que l'on puisse considérer qu'ils sont soulevés conformément aux exigences de motivation déduites de l' art. 106 al. 2 LTF (cf. supra consid. 3.1). Il n'en va pas différemment en ce qui concerne la référence à la liberté de langue protégé par l' art. 18 Cst. qu'invoque aussi le recourant, étant de surcroît relevé que le français constitue l'une des langues officielles du canton de Berne (cf. art. 6 al. 1 et 5 Cst./BE ), où se trouve l'établissement de Thorberg. Quant au grief tiré d'une prétendue violation de l' art. 28 CC , il est manifestement dénué de portée propre par rapport aux autres griefs examinés plus haut.</w:t>
      </w:r>
    </w:p>
    <w:p>
      <w:r>
        <w:rPr>
          <w:b/>
        </w:rPr>
        <w:t>E. 6</w:t>
      </w:r>
    </w:p>
    <w:p>
      <w:r>
        <w:t>Au vu des considérants qui précèdent, le recours doit être rejeté dans la mesure où il est recevable. Le recours était dénué de chance de succès. L'assistance judiciaire doit ainsi être refusée ( art. 64 al. 1 LTF ). Le recourant, qui succombe, supporte les frais judiciaires,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