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6B_733/2025 vom 29. Januar 2026</w:t>
      </w:r>
    </w:p>
    <w:p>
      <w:r>
        <w:t>Bundesgericht, 2026-01-29, FR</w:t>
      </w:r>
    </w:p>
    <w:p>
      <w:r>
        <w:rPr>
          <w:b/>
        </w:rPr>
        <w:t xml:space="preserve">Quelle: </w:t>
      </w:r>
      <w:r>
        <w:t>https://mcp.opencaselaw.ch/entscheid/bger_6B_733_2025</w:t>
      </w:r>
    </w:p>
    <w:p>
      <w:r>
        <w:t>FR: TF 6B_733/2025 du 29 janvier 2026</w:t>
      </w:r>
    </w:p>
    <w:p>
      <w:r>
        <w:t>IT: TF 6B_733/2025 del 29 gennaio 2026</w:t>
      </w:r>
    </w:p>
    <w:p>
      <w:pPr>
        <w:pStyle w:val="Heading2"/>
      </w:pPr>
      <w:r>
        <w:t>Erwägungen</w:t>
      </w:r>
    </w:p>
    <w:p>
      <w:r>
        <w:rPr>
          <w:b/>
        </w:rPr>
        <w:t>E. 1</w:t>
      </w:r>
    </w:p>
    <w:p>
      <w:r>
        <w:t>A.________ forme un recours en matière pénale au Tribunal fédéral contre l'arrêt rendu le 19 juin 2025 par la Chambre des recours pénale du Tribunal cantonal vaudois, par lequel dite autorité a rejeté le recours du prénommé dans la mesure de sa recevabilité et a confirmé une ordonnance du 7 avril 2025 de la Commission de police de Lavaux.</w:t>
      </w:r>
    </w:p>
    <w:p>
      <w:r>
        <w:t>Dite ordonnance prenait acte du retrait de l'opposition du prénommé, disait en particulier que l'ordonnance pénale 1028492 du 27 février 2025 était assimilée à un jugement entré en force. Il en ressortait en substance que A.________ avait été condamné à une peine d'amende de 60 fr., pour avoir stationné son véhicule immatriculé XX yyy'yyy hors cases sur la Place U.________ à V.________.</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6B_356/2025 du 7 mai 2025 consid. 5; 6B_799/2023 du 7 février 2025; 6B_214/2024 du 3 février 2025 consid. 1).</w:t>
      </w:r>
    </w:p>
    <w:p>
      <w:r>
        <w:t>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IV 389 consid. 4.7.1; 150 IV 360 consid. 3.2.1; 150 I 50 consid. 3.3.1; 149 IV 231 consid. 2.4; 148 IV 356 consid. 2.1; 148 IV 409 consid. 2.2; 148 IV 205 consid. 2.6; 147 IV 73 consid. 4.1.2).</w:t>
      </w:r>
    </w:p>
    <w:p>
      <w:r>
        <w:rPr>
          <w:b/>
        </w:rPr>
        <w:t>E. 3</w:t>
      </w:r>
    </w:p>
    <w:p>
      <w:r>
        <w:t>En l'espèce, le recourant soutient en premier lieu que son délai de recours aurait été "restreint", sans pour autant formuler de grief recevable sur ce point. En tout état, on peut relever qu'eu égard aux féries judiciaires (cf. art. 46 al. 1 let. a LTF ), le délai de recours au Tribunal fédéral face à une décision en l'occurrence notifiée durant cette période a commencé à courir le 15 août 2025 et est arrivé à échéance le dimanche 14 septembre suivant, respectivement le lundi 15 septembre 2025 (cf. art. 45 al. 1 LTF ). L'acte de recours a été en l'espèce déposé le 5 septembre 2025 et reçu au Tribunal fédéral le 9 septembre suivant. Il n'en demeure pas moins que le recourant a disposé du délai légal pour procéder utilement.</w:t>
      </w:r>
    </w:p>
    <w:p>
      <w:r>
        <w:t>On relève en outre qu'il ne ressort pas de l'arrêt attaqué que la Commission de police aurait été invitée à se déterminer sur le recours, sans que le recourant eût été invité à son tour à répliquer. L'arrêt querellé note simplement qu'en date du 9 mai 2025, la Commission de Police a transmis son dossier et qu'il n'a pas été ordonné d'échange d'écriture. On ne discerne pas, quoi qu'il en soit, de grief de violation du droit d'être entendu soulevé à satisfaction de droit dans l'écriture du recourant (cf. art. 42 al. 2 et 106 al. 2 LTF).</w:t>
      </w:r>
    </w:p>
    <w:p>
      <w:r>
        <w:t>Pour le reste, le recourant se limite pour l'essentiel a discuter, respectivement à commenter les constatations cantonales et la motivation de l'arrêt querellé sans discuter celles-ci de manière conforme aux exigences de motivations rappelées ci-dessus. En particulier, le recourant n'expose pas à satisfaction de droit en quoi l'autorité précédente aurait violé le droit fédéral en lien avec l' art. 386 al. 3 CPP . Il échoue au demeurant à mettre en évidence que la cour cantonale aurait arbitrairement omis de considérer qu'il avait été induit en erreur par l'autorité de première instance ou qu'elle aurait violé la disposition précitée s'agissant du caractère définitif du retrait d'une opposition à une ordonnance pénale.</w:t>
      </w:r>
    </w:p>
    <w:p>
      <w:r>
        <w:t>Au vu de ce qui précède, faute de satisfaire aux conditions de recevabilité d'un recours en matière pénale au Tribunal fédéral, le recours doit être déclaré irrecevable en application de l' art. 108 al. 1 let. b LTF .</w:t>
      </w:r>
    </w:p>
    <w:p>
      <w:r>
        <w:t>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