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733/2017 vom 25. Juli 2017</w:t>
      </w:r>
    </w:p>
    <w:p>
      <w:r>
        <w:t>Bundesgericht, 2017-07-25, FR</w:t>
      </w:r>
    </w:p>
    <w:p>
      <w:r>
        <w:rPr>
          <w:b/>
        </w:rPr>
        <w:t xml:space="preserve">Quelle: </w:t>
      </w:r>
      <w:r>
        <w:t>https://mcp.opencaselaw.ch/entscheid/bger_6B_733_2017</w:t>
      </w:r>
    </w:p>
    <w:p>
      <w:r>
        <w:t>FR: TF 6B 733/2017 du 25 juillet 2017</w:t>
      </w:r>
    </w:p>
    <w:p>
      <w:r>
        <w:t>IT: TF 6B 733/2017 del 25 luglio 2017</w:t>
      </w:r>
    </w:p>
    <w:p>
      <w:pPr>
        <w:pStyle w:val="Heading2"/>
      </w:pPr>
      <w:r>
        <w:t>Regeste</w:t>
      </w:r>
    </w:p>
    <w:p>
      <w:r>
        <w:t>Ordonnance de non-entrée en matière (lésions corporelles simples, dommages à la propriété, menaces, contrainte), qualité pour recourir au Tribunal fédéral | Procédure pénale</w:t>
      </w:r>
    </w:p>
    <w:p>
      <w:pPr>
        <w:pStyle w:val="Heading2"/>
      </w:pPr>
      <w:r>
        <w:t>Erwägungen</w:t>
      </w:r>
    </w:p>
    <w:p>
      <w:r>
        <w:rPr>
          <w:b/>
        </w:rPr>
        <w:t>E. 1</w:t>
      </w:r>
    </w:p>
    <w:p>
      <w:r>
        <w:t>Par ordonnance du 19 mai 2017, la Chambre pénale du Tribunal cantonal du canton du Valais a rejeté la demande d'assistance judiciaire et, dans la mesure où il était recevable, le recours de X.________ contre l'ordonnance de non-entrée en matière prononcée le 6 février 2017 sur sa plainte contre A.________ et B.________ pour lésions corporelles simples, dommages à la propriété, menaces, contrainte. X.________ recourt en matière pénale au Tribunal fédéral contre l'ordonnance cantonale, dont elle requiert l'annulation en concluant à l'ouverture d'une 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La recourante fait valoir que l'ordonnance de non-entrée en matière réduit à néant ses chances d'obtenir une réparation pour l'ensemble des frais et dépenses que la recherche de preuves lui a occasionnés. Elle invoque en outre diverses dégradations, notamment des frais de réparation et de nettoyage, encourus après que des oeufs ont été jetés sur son balcon et les pneus de son vélo lacérés. Elle entend également obtenir réparation du tort moral subi, les actes incriminés nuisant considérablement à sa qualité de vie puisqu'elle vit depuis lors dans la crainte permanente d'un nouvel empoisonnement ou d'une nouvelle destruction de ses biens (cf. recours ch. 2.4). Outre que la recourante invoque notamment des préjudices qui ne résultent pas directement des infractions dénoncées, elle ne se détermine nullement sur le principe ou la quotité des dommages et du tort moral prétendument subis. Se prévalant de plusieurs infractions différentes, il lui incombait en outre de mentionner par rapport à chacune d'elles en quoi le dommage prétendu consiste (cf. arrêt 6B_914/2013 du 27 février 2014 consid. 1.2). L'absence d'explication suffisante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invoque une violation de l'adage in dubio pro duriore et de son droit d'être entendue pour le motif que les autorités de poursuite pénale n'ont pas donné suite à ses offres de preuves. En particulier, elle leur reproche de n'avoir pas ordonné les expertises qu'elle avait requises, ni pris en considérations les deux DVD ainsi que le Wireless Mini DVR qu'elle avait produits en procédure. Ce faisant, elle n'invoque pas une violation de ses droits de partie, mais elle entend revenir sur le fond de la cause, aspect sur lequel elle n'a pas qualité pour recourir (cf. supra consid. 2.1).</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