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6B_733/2007 vom 19. Juni 2008</w:t>
      </w:r>
    </w:p>
    <w:p>
      <w:r>
        <w:t>Bundesgericht, 2008-06-19, FR</w:t>
      </w:r>
    </w:p>
    <w:p>
      <w:r>
        <w:rPr>
          <w:b/>
        </w:rPr>
        <w:t xml:space="preserve">Quelle: </w:t>
      </w:r>
      <w:r>
        <w:t>https://mcp.opencaselaw.ch/entscheid/bger_6B_733_2007</w:t>
      </w:r>
    </w:p>
    <w:p>
      <w:r>
        <w:t>FR: TF 6B_733/2007 du 19 juin 2008</w:t>
      </w:r>
    </w:p>
    <w:p>
      <w:r>
        <w:t>IT: TF 6B_733/2007 del 19 giugno 2008</w:t>
      </w:r>
    </w:p>
    <w:p>
      <w:pPr>
        <w:pStyle w:val="Heading2"/>
      </w:pPr>
      <w:r>
        <w:t>Erwägungen</w:t>
      </w:r>
    </w:p>
    <w:p>
      <w:r>
        <w:rPr>
          <w:b/>
        </w:rPr>
        <w:t>E. 1</w:t>
      </w:r>
    </w:p>
    <w:p>
      <w:r>
        <w:t>Le recourant conteste la qualification de lésions corporelles simples. Selon lui, les faits retenus sont constitutifs de voies de fait au sens de l' art. 126 CP . En l'absence de plainte et faute par lui d'avoir agi à réitérées reprises, cette infraction ne pourrait toutefois être retenue à son encontre, de sorte qu'il devrait être acquitté.</w:t>
      </w:r>
    </w:p>
    <w:p>
      <w:r>
        <w:rPr>
          <w:b/>
        </w:rPr>
        <w:t>E. 1.1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119 IV 25 consid. 2a p. 26; 107 IV 40 consid. 5c p. 42; 103 IV 65 consid. 2c p. 70).</w:t>
      </w:r>
    </w:p>
    <w:p>
      <w:r>
        <w:rPr>
          <w:b/>
        </w:rPr>
        <w:t>E. 1.2</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119 IV 25 consid. 2a p. 26; 117 IV 14 consid. 2a p. 15 ss).</w:t>
      </w:r>
    </w:p>
    <w:p>
      <w:r>
        <w:t>Les voies de fait ne sont en principe punissables que sur plainte (cf. art. 126 al. 1 CP ). Elles se poursuivent toutefois d'office dans les cas énumérés à l' art. 126 al. 2 CP , qui, pour chacune des hypothèses prévues, implique que l'auteur ait agi à réitérées reprises. Tel est le cas lorsque les voies de fait sont commises plusieurs fois sur la même victime et dénotent une certaine habitude ( ATF 129 IV 216 consid. 3.1 p. 222).</w:t>
      </w:r>
    </w:p>
    <w:p>
      <w:r>
        <w:rPr>
          <w:b/>
        </w:rPr>
        <w:t>E. 1.3</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 ATF 119 IV 25 consid. 2a p. 26/27). La question peut parfois être résolue de manière satisfaisante par l'application de l' art. 123 ch. 1 al. 2 CP , qui permet une atténuation libre de la peine dans les cas de peu de gravité (cf. ATF 119 IV 25 consid. 2a p. 27).</w:t>
      </w:r>
    </w:p>
    <w:p>
      <w:r>
        <w:t>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119 IV 25 consid. 2a p. 27 et les arrêts cités).</w:t>
      </w:r>
    </w:p>
    <w:p>
      <w:r>
        <w:rPr>
          <w:b/>
        </w:rPr>
        <w:t>E. 1.4</w:t>
      </w:r>
    </w:p>
    <w:p>
      <w:r>
        <w:t>Ainsi qu'on l'a vu, l' art. 123 CP protège non seulement l'intégrité corporelle et la santé physique, mais aussi la santé psychique (cf. supra, consid. 1.1; ATF 119 IV 25 consid. 2a p. 26). Pour qu'il y ait lésions corporelles, il n'est donc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w:t>
      </w:r>
    </w:p>
    <w:p>
      <w:r>
        <w:rPr>
          <w:b/>
        </w:rPr>
        <w:t>E. 1.5</w:t>
      </w:r>
    </w:p>
    <w:p>
      <w:r>
        <w:t>Il est reproché au recourant d'avoir, par deux fois, fait subir une tonsure totale à sa fille, alors âgée de 13 ½ ans.</w:t>
      </w:r>
    </w:p>
    <w:p>
      <w:r>
        <w:t>Une tonsure totale constitue une atteinte à l'intégrité physique, dès lors que la chevelure, comme par exemple les ongles, fait partie du corps humain. De par sa nature, elle n'est pas de peu d'importance, dès lors qu'elle revient à priver la victime de l'intégralité de sa chevelure. Dans le cas concret, elle ne l'est pas non plus par ses effets. Certes, l'atteinte litigieuse n'a pas causé de lésion ni de douleur à la victime. Son impact psychique ne peut toutefois être nié, s'agissant d'une jeune-fille de l'âge de la victime au moment des faits. Cela d'autant moins que la victime semble avoir fortement réagi, tentant de boire de l'eau savonneuse et menaçant de sauter par la fenêtre suite à la seconde tonsure qui lui a été infligée. L'atteinte était au demeurant propre à diminuer considérablement et durablement son sentiment de bien-être, en la perturbant dans sa vie sociale, notamment dans ses relations avec ses amis, sans compter l'humiliation inhérente à une telle atteinte. Dans ces conditions, c'est à juste titre que l'autorité cantonale a qualifié l'acte en cause de lésions corporelles simples, et non de voies de fait.</w:t>
      </w:r>
    </w:p>
    <w:p>
      <w:r>
        <w:t>L'élément subjectif de l'infraction, qui suppose un comportement intentionnel, est également réalisé. Le recourant était conscient de la portée et des effets de son acte, qu'il a néanmoins commis, parce qu'il voulait empêcher sa fille de sortir, escomptant que la gêne causée par la tonsure la dissuaderait de le faire.</w:t>
      </w:r>
    </w:p>
    <w:p>
      <w:r>
        <w:rPr>
          <w:b/>
        </w:rPr>
        <w:t>E. 1.6</w:t>
      </w:r>
    </w:p>
    <w:p>
      <w:r>
        <w:t>Sur le vu de ce qui précède, le jugement attaqué ne viole pas le droit fédéral en tant qu'il retient les lésions corporelles simples, à l'exclusion des voies de fait.</w:t>
      </w:r>
    </w:p>
    <w:p>
      <w:r>
        <w:rPr>
          <w:b/>
        </w:rPr>
        <w:t>E. 2</w:t>
      </w:r>
    </w:p>
    <w:p>
      <w:r>
        <w:t>Le recours doit ainsi être rejeté.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