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732/2020 vom 10. August 2020</w:t>
      </w:r>
    </w:p>
    <w:p>
      <w:r>
        <w:t>Bundesgericht, 2020-08-10, DE</w:t>
      </w:r>
    </w:p>
    <w:p>
      <w:r>
        <w:rPr>
          <w:b/>
        </w:rPr>
        <w:t xml:space="preserve">Quelle: </w:t>
      </w:r>
      <w:r>
        <w:t>https://mcp.opencaselaw.ch/entscheid/bger_6B_732_2020</w:t>
      </w:r>
    </w:p>
    <w:p>
      <w:r>
        <w:t>FR: TF 6B 732/2020 du 10 août 2020</w:t>
      </w:r>
    </w:p>
    <w:p>
      <w:r>
        <w:t>IT: TF 6B 732/2020 del 10 agosto 2020</w:t>
      </w:r>
    </w:p>
    <w:p>
      <w:pPr>
        <w:pStyle w:val="Heading2"/>
      </w:pPr>
      <w:r>
        <w:t>Regeste</w:t>
      </w:r>
    </w:p>
    <w:p>
      <w:r>
        <w:t>Nichtanhandnahme (Betrug); Nichteintreten | Strafprozess</w:t>
      </w:r>
    </w:p>
    <w:p>
      <w:pPr>
        <w:pStyle w:val="Heading2"/>
      </w:pPr>
      <w:r>
        <w:t>Erwägungen</w:t>
      </w:r>
    </w:p>
    <w:p>
      <w:r>
        <w:rPr>
          <w:b/>
        </w:rPr>
        <w:t>E. 1</w:t>
      </w:r>
    </w:p>
    <w:p>
      <w:r>
        <w:t>Am 5. Juni 2019 erstattete B.________ Anzeige gegen den Beschwerdeführer wegen Betrugs. Die Staatsanwaltschaft Zürich-Sihl nahm eine Strafuntersuchung am 13. Juni 2019 nicht an die Hand. Auf eine dagegen gerichtete Beschwerde von B.________ hin hob das Obergericht des Kantons Zürich die Nichtanhandnahmeverfügung mit Beschluss vom 18. Mai 2020 auf und wies die Sache im Sinne der Erwägungen an die Staatsanwaltschaft zurück. Der Beschwerdeführer wendet sich an das Bundesgericht.</w:t>
      </w:r>
    </w:p>
    <w:p>
      <w:r>
        <w:rPr>
          <w:b/>
        </w:rPr>
        <w:t>E. 2</w:t>
      </w:r>
    </w:p>
    <w:p>
      <w:r>
        <w:t>Beim angefochtenen Entscheid handelt es sich um einen Zwischenentscheid, der das Strafverfahren gegen den Beschwerdeführer nicht abschliesst, sondern im Gegenteil dessen Durch- bzw. Fortführung bewirkt. Gegen selbständig eröffnete Vor- und Zwischenentscheide, die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In der Beschwerde muss - sofern das nicht offensichtlich ist - im Einzelnen darlegt werden, weshalb diese Eintretensvoraussetzungen erfüllt sein sollen. Andernfalls genügt die Beschwerde der Begründungspflicht nach Art. 42 Abs. 1 und 2 BGG nicht und es kann darauf nicht eingetreten werden ( BGE 142 III 798 E. 2.2 S. 801; 138 III 46 E. 1.2 S. 47; 137 III 324 E. 1.1 S. 329; 136 IV 92 E. 4 S. 95; je mit Hinwei sen).</w:t>
      </w:r>
    </w:p>
    <w:p>
      <w:r>
        <w:rPr>
          <w:b/>
        </w:rPr>
        <w:t>E. 3</w:t>
      </w:r>
    </w:p>
    <w:p>
      <w:r>
        <w:t>Der Beschwerdeführer äussert sich nicht zu den Eintretensvoraussetzungen von Art. 93 Abs. 1 BGG . Weder behauptet er, der angefochtene Beschluss bewirke einen nicht wieder gutzumachenden Nachteil ( Art. 93 Abs. 1 lit. a BGG ), noch legt er dar, durch einen Entscheid des Bundesgerichts könne ein bedeutender Aufwand an Zeit oder Kosten für ein weitläufiges Beweisverfahren erspart werden ( Art. 93 Abs. 1 lit. b BGG ). Beides ist vorliegend auch nicht offensichtlich. Auf die Beschwerde ist mangels einer hinreichenden Begründung im Verfahren nach Art. 108 BGG nicht einzutreten.</w:t>
      </w:r>
    </w:p>
    <w:p>
      <w:r>
        <w:rPr>
          <w:b/>
        </w:rPr>
        <w:t>E. 4</w:t>
      </w:r>
    </w:p>
    <w:p>
      <w:r>
        <w:t>Ausgangsgemäss sind die Gerichtskosten dem Beschwerdeführer aufzuerlegen ( Art. 66 Abs. 1 BGG ). Das (nachträgliche) sinngemässe Gesuch um unentgeltliche Rechtspflege ist abzuweisen, weil die Rechtsbegehren aussichtslos erschienen (vgl. Art. 64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