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6B_732/2012 vom 30. Mai 2013</w:t>
      </w:r>
    </w:p>
    <w:p>
      <w:r>
        <w:t>Bundesgericht, 2013-05-30, DE</w:t>
      </w:r>
    </w:p>
    <w:p>
      <w:r>
        <w:rPr>
          <w:b/>
        </w:rPr>
        <w:t xml:space="preserve">Quelle: </w:t>
      </w:r>
      <w:r>
        <w:t>https://mcp.opencaselaw.ch/entscheid/bger_6B_732_2012</w:t>
      </w:r>
    </w:p>
    <w:p>
      <w:r>
        <w:t>FR: TF 6B_732/2012 du 30 mai 2013</w:t>
      </w:r>
    </w:p>
    <w:p>
      <w:r>
        <w:t>IT: TF 6B_732/2012 del 30 maggio 2013</w:t>
      </w:r>
    </w:p>
    <w:p>
      <w:pPr>
        <w:pStyle w:val="Heading2"/>
      </w:pPr>
      <w:r>
        <w:t>Erwägungen</w:t>
      </w:r>
    </w:p>
    <w:p>
      <w:r>
        <w:rPr>
          <w:b/>
        </w:rPr>
        <w:t>E. 1.1</w:t>
      </w:r>
    </w:p>
    <w:p>
      <w:r>
        <w:t>Der Beschwerdeführer rügt eine Verletzung von Art. 183 StPO i.V.m. Art. 56 StPO . Der gerichtlich bestellte Gutachter Y.________ hätte in den Ausstand treten müssen, denn dieser habe in seiner Funktion als Sektionschef des Bundesamtes für Metrologie METAS bei der Ausstellung des Eichzertifikats für das bei der Geschwindigkeitsmessung verwendete Lasermessgerät mitgewirkt. Eichung und Zertifizierung seien notwendige Durchgangsstufen für die Verurteilung. Y.________ sei als Gutachter zweimal in der gleichen Sache tätig gewesen und somit vorbefasst. Das Gutachten vom 23. Februar 2011 sowie das Ergänzungsgutachten vom 12. April 2011 seien demnach nicht verwertbar. Zudem bestünden aufgrund der bei den Akten liegenden Publikationen des Gutachters starke Zweifel an dessen Unabhängigkeit.</w:t>
      </w:r>
    </w:p>
    <w:p>
      <w:r>
        <w:rPr>
          <w:b/>
        </w:rPr>
        <w:t>E. 1.2</w:t>
      </w:r>
    </w:p>
    <w:p>
      <w:r>
        <w:t>Die Vorinstanz erwägt, eine Vorbefassung des Gutachters liege nicht vor. Der Sachverständige äussere sich in den Gutachten lediglich dazu, ob die Geschwindigkeitsmessungen mit dem Lasermessgerät korrekt durchgeführt worden seien, nicht hingegen, ob dies auch auf die Eichung und Zertifizierung zutreffe.</w:t>
      </w:r>
    </w:p>
    <w:p>
      <w:r>
        <w:rPr>
          <w:b/>
        </w:rPr>
        <w:t>E. 1.3.1</w:t>
      </w:r>
    </w:p>
    <w:p>
      <w:r>
        <w:t>Gemäss Art. 183 Abs. 3 StPO gelten für Sachverständige die Ausstandsgründe nach Art. 56 StPO . Nach dieser Bestimmung tritt eine in einer Strafbehörde tätige Person namentlich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132 V 93 E. 7.1 S. 109; 126 III 249 E. 3c S. 253; je mit Hinweis).</w:t>
      </w:r>
    </w:p>
    <w:p>
      <w:r>
        <w:rPr>
          <w:b/>
        </w:rPr>
        <w:t>E. 1.3.2</w:t>
      </w:r>
    </w:p>
    <w:p>
      <w:r>
        <w:t>Voreingenommenheit und Befangenheit werden bejaht, wenn Umstände vorliegen, die bei objektiver Betrachtung geeignet sind, Misstrauen in die Unparteilichkeit des Sachverständigen zu erwecken. Solche Umstände können in einem bestimmten Verhalten des betreffenden Sachverständigen oder in gewissen äusseren Gegebenheiten funktioneller und organisatorischer Natur begründet sein. Hierbei ist nicht auf das subjektive Empfinden einer Partei abzustellen, sondern das Misstrauen in die Unvoreingenommenheit muss vielmehr in objektiver Weise begründet erscheinen. Es genügt bereits der Anschein der Befangenheit und Voreingenommenheit. Für die Ablehnung wird nicht verlangt, dass der Sachverständige tatsächlich befangen ist ( BGE 136 I 207 E. 3.1 S. 210 mit Hinweisen). Der Anschein der Befangenheit und Voreingenommenheit kann auch dadurch erweckt werden, dass die sachverständige Person in einem früheren Zeitpunkt in amtlicher Funktion mit der konkreten Sache schon zu tun hatte ( BGE 132 V 93 E. 7.2.2 S. 110 mit Hinweis).</w:t>
      </w:r>
    </w:p>
    <w:p>
      <w:r>
        <w:rPr>
          <w:b/>
        </w:rPr>
        <w:t>E. 1.4</w:t>
      </w:r>
    </w:p>
    <w:p>
      <w:r>
        <w:t>Der pauschale Verweis auf Beweismittel in den kantonalen Akten zum Nachweis einer allfälligen Voreingenommenheit des Gutachters genügt den Rügeanforderungen von Art. 42 Abs. 2 BGG nicht ( BGE 133 IV 286 E. 6.2 S. 288; 133 II 400 E. 2 S. 403 f.; je mit Hinweisen). Der Beschwerdeführer legt nicht dar, wo in den Akten sich die entsprechenden Unterlagen angeblich befinden. Es ist nicht Aufgabe des Bundesgerichts, die kantonalen Akten auf einzelne Dokumente oder Behauptungen hin zu durchforsten. Zudem enthalten die kantonalen Akten keine Publikationen des Gutachters, sondern lediglich Veröffentlichungen Dritter, in denen auf (allfällige) von ihm gemachte Äusserungen Bezug genommen wird. Die Rüge ist unbegründet, soweit überhaupt darauf eingetreten werden kann.</w:t>
      </w:r>
    </w:p>
    <w:p>
      <w:r>
        <w:t>Der Einwand, der Gutachter sei in der Sache vorbefasst, ist unbegründet. Wie die Vorinstanz zutreffend ausführt, wurden die Eichzertifikate des verwendeten Lasermessgerätes vom Gutachter Anfang November 2009 und 2010 unterzeichnet. Diese Tätigkeit (Eichung und Zertifizierung) weist keinerlei Sachbezug mit dem gegen den Beschwerdeführer erst im Januar 2011 eröffneten Strafverfahren auf. Gegenstand beider Gutachten war nicht, ob das Messgerät technisch einwandfrei funktionierte (und/oder ob dies aufgrund der Eichung und Zertifizierung unterstellt werden könne). Der Sachverständige äusserte sich ausschliesslich zur Frage, ob die nicht dokumentierte Einhaltung bzw. ein allfälliges Abweichen von den Bedienungsvorschriften die Messergebnisse beeinflusst hat oder haben könnte. Insofern kann keine Rede davon sein, dass Y.________ in seiner Eigenschaft als Gutachter im Eichverfahren ähnliche oder qualitativ gleiche Frage wie im Strafverfahren geprüft hat. Die Vorinstanz durfte die Gutachten als Beweismittel heranziehen.</w:t>
      </w:r>
    </w:p>
    <w:p>
      <w:r>
        <w:rPr>
          <w:b/>
        </w:rPr>
        <w:t>E. 2.1</w:t>
      </w:r>
    </w:p>
    <w:p>
      <w:r>
        <w:t>Der Beschwerdeführer wirft der Vorinstanz eine willkürliche Sachverhaltsfeststellung und einseitige Beweiswürdigung vor. Die Geschwindigkeitsmessungen seien nicht korrekt durchgeführt worden, denn weder das Messverfahren noch die Messsystematik entsprächen den rechtlichen Anforderungen. Die Schlussfolgerungen des Sachverständigen seien falsch und willkürlich. Die Vorinstanz stelle auf die einzige vom Gutachter als gültig deklarierte Messung ab und lasse alle übrigen Beweismittel unberücksichtigt. Insgesamt bestünden aufgrund der Beweise derart erhebliche Zweifel, dass der Beschwerdeführer in Anwendung des Grundsatzes "in dubio pro reo" freizusprechen sei.</w:t>
      </w:r>
    </w:p>
    <w:p>
      <w:r>
        <w:rPr>
          <w:b/>
        </w:rPr>
        <w:t>E. 2.2</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Begriff der Willkür BGE 138 I 305 E. 4.3 ; 137 I 1 E. 2.4). Die Willkürrüge prüft das Bundesgericht gemäss Art. 106 Abs. 2 BGG nur insoweit, als sie in der Beschwerde explizit vorgebracht und substantiiert begründet worden ist. Auf eine bloss appellatorische Kritik am angefochtenen Urteil tritt es nicht ein ( BGE 138 I 171 E. 1.4; 136 II 489 E. 2.8; je mit Hinweisen). Dem Grundsatz in dubio pro reo kommt in der vom Beschwerdeführer angerufenen Funktion als Beweiswürdigungsregel im Verfahren vor dem Bundesgericht keine über das Willkürverbot von Art. 9 BV hinausgehende Bedeutung zu ( BGE 127 I 38 E. 2a mit Hinweisen).</w:t>
      </w:r>
    </w:p>
    <w:p>
      <w:r>
        <w:t>Der Anspruch auf rechtliches Gehör ( Art. 29 Abs. 2 BV ) beinhaltet u.a., dass das Gericht die rechtserheblichen Vorbringen der vom Entscheid in ihrer Rechtsstellung betroffenen Person auch tatsächlich hört, prüft und in der Entscheidfindung berücksichtigt ( BGE 136 I 229 E. 5.2 S. 236 mit Hinweisen).</w:t>
      </w:r>
    </w:p>
    <w:p>
      <w:r>
        <w:rPr>
          <w:b/>
        </w:rPr>
        <w:t>E. 2.3</w:t>
      </w:r>
    </w:p>
    <w:p>
      <w:r>
        <w:t>Die Vorinstanz war bei der Beurteilung der Beweismittel frei. Der Umstand, dass das Messprotokoll unvollständig und die durchgeführte Geschwindigkeitsmessung damit nicht weisungskonform ist, schliesst nicht aus, dass sich die Vorinstanz aufgrund anderer Beweise von der Überschreitung der Höchstgeschwindigkeit überzeugte. Die (technischen) Weisungen des ASTRA lassen die freie Beweiswürdigung durch die Gerichte unberührt (Ziff. 21 der Weisungen über polizeiliche Geschwindigkeitskontrollen und Rotlichtüberwachung im Strassenverkehr; Urteil 6B_473/2010 vom 19. Juli 2010 E. 3.1 mit Hinweisen). Was der Beschwerdeführer gegen die vorinstanzliche Beweiswürdigung vorbringt, erschöpft sich weitgehend in appellatorischer Kritik, die nicht geeignet ist, Willkür zu begründen. Er wiederholt im Wesentlichen seine erstinstanzlichen Einwände, ohne sich mit den Erwägungen des angefochtenen Urteils auseinanderzusetzen. Die Vorbringen des Beschwerdeführers sind ungeeignet, die Gutachten zu erschüttern. Sämtliche Einwendungen zu Berechnungsmethoden und -ergebnissen werden umfassend und nachvollziehbar widerlegt. Der Sachverständige legt überzeugend dar, dass die von den Polizeibeamten nicht beachteten Vorschriften die Messergebnisse nicht beeinflusst haben. Die zweite Messung ist technisch korrekt durchgeführt worden, und es bestehen keine Zweifel, dass die gemessenen 121 km/h (nach Abzug der Sicherheitsmarge) der tatsächlich vom Beschwerdeführer gefahrenen Geschwindigkeit entsprechen. Der Beschwerdeführer legt nicht dar, welche Vorbringen oder Tatsachen das Gericht bei der Beweiswürdigung nicht berücksichtigt hat. Dies ist zudem nicht ersichtlich. Die Vorinstanz durfte aufgrund des Gutachtens und des Ergänzungsgutachtens willkürfrei zur Überzeugung gelangen, dass der Beschwerdeführer die zulässige Höchstgeschwindigkeit um 41 km/h überschritten hat.</w:t>
      </w:r>
    </w:p>
    <w:p>
      <w:r>
        <w:rPr>
          <w:b/>
        </w:rPr>
        <w:t>E. 3</w:t>
      </w:r>
    </w:p>
    <w:p>
      <w:r>
        <w:t>Die Beschwerde ist abzuweisen, soweit darauf eingetreten werden kann.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