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732/2010 vom 25. Oktober 2011</w:t>
      </w:r>
    </w:p>
    <w:p>
      <w:r>
        <w:t>Bundesgericht, 2011-10-25, IT</w:t>
      </w:r>
    </w:p>
    <w:p>
      <w:r>
        <w:rPr>
          <w:b/>
        </w:rPr>
        <w:t xml:space="preserve">Quelle: </w:t>
      </w:r>
      <w:r>
        <w:t>https://mcp.opencaselaw.ch/entscheid/bger_6B_732_2010</w:t>
      </w:r>
    </w:p>
    <w:p>
      <w:r>
        <w:t>FR: TF 6B 732/2010 du 25 octobre 2011</w:t>
      </w:r>
    </w:p>
    <w:p>
      <w:r>
        <w:t>IT: TF 6B 732/2010 del 25 ottobre 2011</w:t>
      </w:r>
    </w:p>
    <w:p>
      <w:pPr>
        <w:pStyle w:val="Heading2"/>
      </w:pPr>
      <w:r>
        <w:t>Regeste</w:t>
      </w:r>
    </w:p>
    <w:p>
      <w:r>
        <w:t>Pretese civili; confisca | Diritto penale (in generale)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Ne segue che il ricorso deve essere respinto nella misura della sua ammissibilità. Le spese giudiziarie seguono la soccombenza e sono quindi poste a carico delle ricorrenti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