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731/2020 vom 1. Juli 2020</w:t>
      </w:r>
    </w:p>
    <w:p>
      <w:r>
        <w:t>Bundesgericht, 2020-07-01, FR</w:t>
      </w:r>
    </w:p>
    <w:p>
      <w:r>
        <w:rPr>
          <w:b/>
        </w:rPr>
        <w:t xml:space="preserve">Quelle: </w:t>
      </w:r>
      <w:r>
        <w:t>https://mcp.opencaselaw.ch/entscheid/bger_6B_731_2020</w:t>
      </w:r>
    </w:p>
    <w:p>
      <w:r>
        <w:t>FR: TF 6B 731/2020 du 1 juillet 2020</w:t>
      </w:r>
    </w:p>
    <w:p>
      <w:r>
        <w:t>IT: TF 6B 731/2020 del 1 luglio 2020</w:t>
      </w:r>
    </w:p>
    <w:p>
      <w:pPr>
        <w:pStyle w:val="Heading2"/>
      </w:pPr>
      <w:r>
        <w:t>Regeste</w:t>
      </w:r>
    </w:p>
    <w:p>
      <w:r>
        <w:t>Demande de révision | Procédure pénale</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le recourant est par conséquent exclu (cf. art. 113 LTF ).</w:t>
      </w:r>
    </w:p>
    <w:p>
      <w:r>
        <w:rPr>
          <w:b/>
        </w:rPr>
        <w:t>E. 2.1</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 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6B_237/2020 du 29 mai 2020 consid. 1.2).</w:t>
      </w:r>
    </w:p>
    <w:p>
      <w:r>
        <w:rPr>
          <w:b/>
        </w:rPr>
        <w:t>E. 2.2</w:t>
      </w:r>
    </w:p>
    <w:p>
      <w:r>
        <w:t>La cour cantonale a exposé que le recourant avait produit trois attestations - émanant de sa compagne et des parents de cette dernière -, selon lesquelles l'intéressé serait un homme agréable, qui s'occupe de sa famille avec compétence et dévouement. Le recourant avait également produit une attestation de reconnaissance d'un enfant à naître et la déclaration concernant l'autorité parentale conjointe sur cet enfant. Il ne se prévalait pas de faits ou de moyens de preuves nouveaux, mais cherchait à obtenir le réexamen du jugement du 17 mai 2019, ce qui n'était pourtant pas prévu par le CPP. Selon l'autorité précédente, la prochaine naissance d'un second enfant du recourant ne constituait pas non plus un fait dont l'autorité de jugement aurait dû tenir compte en mai 2019. La condamnation prononcée était en effet antérieure à la conception de cet enfant. Le recourant avait donc su qu'il était sous le coup d'une mesure d'expulsion pénale au moment de la conception de l'enfant. La demande de révision devait donc être déclarée irrecevable sur la base de l' art. 412 al. 2 CPP .</w:t>
      </w:r>
    </w:p>
    <w:p>
      <w:r>
        <w:rPr>
          <w:b/>
        </w:rPr>
        <w:t>E. 2.3</w:t>
      </w:r>
    </w:p>
    <w:p>
      <w:r>
        <w:t>On peine à comprendre l'argumentation du recourant. Comme l'a relevé la cour cantonale, dans la mesure où ce dernier revient sur sa situation familiale qui existait au moment du jugement du 17 mai 2019, il ne se prévaut d'aucun fait ou moyen de preuve nouveau au sens de l' art. 410 al. 1 let. a CPP , mais tente de revenir librement sur l'appréciation faite par le tribunal de première instance, ce qui ne constitue pas l'objet de la présente procédure. Pour le reste, dans la mesure où il entend tirer argument de la naissance d'un enfant dont la conception est postérieure au jugement du 17 mai 2019, le recourant ne fait pas davantage valoir un fait nouveau au sens de l' art. 410 al. 1 let. a CPP , étant rappelé qu'un fait survenu après le jugement dont la révision est demandée n'est pas considéré comme inconnu (cf. Message du 21 décembre 2005 relatif à l'unification du droit de la procédure pénale, FF 2006 1057, 1304; ATF 145 IV 383 consid. 2.3 p. 399; arrêt 6B_455/2011 du 29 novembre 2011 consid. 1.3). Il n'apparaît donc nullement que la cour cantonale aurait pu violer le droit en déclarant irrecevable la demande de révision présentée par le recourant.</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 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