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6B_730/2019 vom 9. August 2019</w:t>
      </w:r>
    </w:p>
    <w:p>
      <w:r>
        <w:t>Bundesgericht, 2019-08-09, FR</w:t>
      </w:r>
    </w:p>
    <w:p>
      <w:r>
        <w:rPr>
          <w:b/>
        </w:rPr>
        <w:t xml:space="preserve">Quelle: </w:t>
      </w:r>
      <w:r>
        <w:t>https://mcp.opencaselaw.ch/entscheid/bger_6B_730_2019</w:t>
      </w:r>
    </w:p>
    <w:p>
      <w:r>
        <w:t>FR: TF 6B_730/2019 du 9 août 2019</w:t>
      </w:r>
    </w:p>
    <w:p>
      <w:r>
        <w:t>IT: TF 6B_730/2019 del 9 agosto 2019</w:t>
      </w:r>
    </w:p>
    <w:p>
      <w:pPr>
        <w:pStyle w:val="Heading2"/>
      </w:pPr>
      <w:r>
        <w:t>Erwägungen</w:t>
      </w:r>
    </w:p>
    <w:p>
      <w:r>
        <w:rPr>
          <w:b/>
        </w:rPr>
        <w:t>E. 1</w:t>
      </w:r>
    </w:p>
    <w:p>
      <w:r>
        <w:t>Le recourant conteste uniquement s'être rendu coupable de l'infraction d'entrave aux mesures de constatation de l'incapacité de conduire.</w:t>
      </w:r>
    </w:p>
    <w:p>
      <w:r>
        <w:t>Il se plaint tout d'abord d'une constatation arbitraire des faits et reproche à l'autorité précédente de s'être fondée sur les témoignages de F.________ et de G.________, employées de B.________, pour retenir qu'un test d'ébriété aurait sans doute été réalisé s'il n'avait pas quitté les lieux. Invoquant également la violation de son droit d'être entendu, il fait grief à la cour cantonale d'avoir refusé d'entendre une nouvelle fois F.________.</w:t>
      </w:r>
    </w:p>
    <w:p>
      <w:r>
        <w:rPr>
          <w:b/>
        </w:rPr>
        <w:t>E. 1.1.1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144 III 93 consid. 5.2.2 p. 98). Le Tribunal fédéral n'entre pas en matière sur les critiques de nature appellatoire ( ATF 145 I 26 consid. 1.3 p. 30; 142 III 364 consid. 2.4 p. 368).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(cf. ATF 144 II 281 consid. 3.6.2 p. 287; 137 III 226 consid. 4.2 p. 233 s.).</w:t>
      </w:r>
    </w:p>
    <w:p>
      <w:r>
        <w:t>Le Tribunal fédéral n'examine la violation de droits fondamentaux que si ce moyen est invoqué et motivé par le recourant ( art. 106 al. 2 LTF ), c'est-à-dire s'il a été expressément soulevé et exposé de manière claire et détaillée ( ATF 145 I 26 consid. 1.3 p. 30; 142 III 364 consid. 2.4 p. 368).</w:t>
      </w:r>
    </w:p>
    <w:p>
      <w:r>
        <w:rPr>
          <w:b/>
        </w:rPr>
        <w:t>E. 1.1.2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6B_458/2019 du 23 mai 2019 consid. 3.2; 6B_217/2019 du 4 avril 2019 consid. 3.1; 6B_259/2019 du 2 avril 2019 consid. 2.1). Le refus d'instruire ne viole ainsi le droit d'être entendu des parties que si l'appréciation anticipée de la pertinence du moyen de preuve offert, à laquelle le juge a procédé, est entachée d'arbitraire ( ATF 144 II 427 consid. 3.1.3 p. 435; 141 I 60 consid. 3.3 p. 64).</w:t>
      </w:r>
    </w:p>
    <w:p>
      <w:r>
        <w:rPr>
          <w:b/>
        </w:rPr>
        <w:t>E. 1.2</w:t>
      </w:r>
    </w:p>
    <w:p>
      <w:r>
        <w:t>En se limitant à faire valoir que la cour cantonale en fait une interprétation différente de celle du juge de première instance, le recourant n'explique pas en quoi la cour cantonale aurait apprécié le témoignage de G.________ de manière arbitraire, étant précisé que la cour cantonale n'est pas liée par l'appréciation des preuves de l'autorité inférieure. Ce grief est irrecevable en l'absence de motivation suffisante ( art. 106 al. 2 LTF ).</w:t>
      </w:r>
    </w:p>
    <w:p>
      <w:r>
        <w:t>Pour le recourant, il était arbitraire de retenir " l'impression générale " de F.________ selon laquelle le groupe de personnes dont il faisait partie étaient avinées. Or, que le recourant fût aviné ou non, selon le personnel de B.________, n'a pas joué de rôle dans l'appréciation cantonale relative à l'application de l' art. 91a LCR ; en effet, l'autorité précédente a uniquement tenu compte du comportement du recourant à partir du moment où il a démarré son véhicule (cf. consid. 7.3 du jugement attaqué et consid. 2.2 infra). Partant, le recourant ne démontre pas en quoi son grief tiré d'un établissement arbitraire des faits est susceptible d'influer sur le sort de la cause ( art. 97 al. 1 LTF ), de sorte qu'il est irrecevable.</w:t>
      </w:r>
    </w:p>
    <w:p>
      <w:r>
        <w:t>Il s'ensuit également que la preuve offerte par le recourant, à savoir l'audition de F.________, ne portait pas sur un fait pertinent au regard de l' art. 91a al. 1 LCR . Aussi le refus d'administrer cette preuve était conforme à l' art. 139 al. 2 CPP et ne violait pas le droit d'être entendu du recourant. Ce grief est rejeté.</w:t>
      </w:r>
    </w:p>
    <w:p>
      <w:r>
        <w:rPr>
          <w:b/>
        </w:rPr>
        <w:t>E. 2</w:t>
      </w:r>
    </w:p>
    <w:p>
      <w:r>
        <w:t>Le recourant reproche à la cour cantonale d'avoir violé l' art. 91a al. 1 LCR . Il soutient que rien ne permet d'affirmer que la police aurait très vraisemblablement ordonné une mesure visant à constater l'incapacité de conduire s'il n'avait pas quitté les lieux.</w:t>
      </w:r>
    </w:p>
    <w:p>
      <w:r>
        <w:rPr>
          <w:b/>
        </w:rPr>
        <w:t>E. 2.1</w:t>
      </w:r>
    </w:p>
    <w:p>
      <w:r>
        <w:t>Aux termes de l' art. 91a al. 1 LCR ,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w:t>
      </w:r>
    </w:p>
    <w:p>
      <w:r>
        <w:t>Comme sous l'ancien art. 91 al. 3 LCR ,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 ATF 142 IV 324 consid. 1.1.1 p. 326; cf. ATF 126 IV 53 consid. 2a p. 55 s.; arrêts 6B_17/2012 du 30 avril 2012 consid. 3.2.1 et 6B_168/2009 du 19 mai 2009 consid. 1.2). Déterminer si une mesure de constatation de l'état d'incapacité du conducteur était hautement vraisemblable est une question de droit que le Tribunal fédéral examine librement (voir arrêt 6B_927/2014 du 16 janvier 2015 consid. 2.3 et l'arrêt cité).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(ATF 142 précité consid. 1.1.1 p. 326).</w:t>
      </w:r>
    </w:p>
    <w:p>
      <w:r>
        <w:t>Sur le plan subjectif, l'infraction est intentionnelle, le dol éventuel étant suffisant (arrêts 6B_158/2019 du 12 mars 2019 consid. 1.1.1; 6B_384/2015 du 7 décembre 2015 consid. 5.3; s'agissant de l'art. 91 al. 3 aLCR: ATF 131 IV 36 consid. 2.2.1 p. 39). Aucun dessein spécial n'est requis. Il n'est ainsi pas déterminant que l'auteur se soit senti ou non en incapacité de conduire ou qu'il soit finalement constaté qu'il se trouvait dans cet état ( ATF 105 IV 64 consid. 2 p. 65; arrêt 6B_158/2019 précité consid. 1.1.1 et les références citées).</w:t>
      </w:r>
    </w:p>
    <w:p>
      <w:r>
        <w:t>Conformément à l' art. 55 al. 1 LCR , les conducteurs de véhicules, de même que les autres usagers de la route impliqués dans un accident, peuvent être soumis à un alcootest. Depuis l'entrée en vigueur de cette disposition le 1er janvier 2005, il est possible d'ordonner une telle investigation même en l'absence de tout soupçon préalable, alors que l'ancien art. 55 al. 2 LCR prévoyait "un examen approprié lorsque les indices permettent de conclure qu'ils sont pris de boisson". Par ailleurs, depuis le 1er janvier 2008, l'art. 10 al. 1 de l'ordonnance du 28 mars 2007 sur le contrôle de la circulation routière (OCCR; RS 741.013) permet à la police de procéder de manière systématique à des tests préliminaires pour déterminer s'il y a eu consommation d'alcool. En considération de cette évolution législative, il y a de manière générale lieu de s'attendre à un contrôle de l'alcoolémie à l'alcootest en cas d'accident, sous réserve que celui-ci soit indubitablement imputable à une cause totalement indépendante du conducteur (ATF 142 précité consid. 1.1.2-1.1.3 p. 326 s.). Le Tribunal fédéral a ainsi jugé, par exemple, que les circonstances de l'accident ne pouvaient pas être considérées comme banales dans le cas où le conducteur percute un sanglier sans qu'aucun élément particulier n'explique la collision. Dans une telle configuration, l'ordre de se soumettre à un contrôle de l'alcoolémie apparaissait comme hautement vraisemblable (ATF 142 précité consid. 1.3 p. 327).</w:t>
      </w:r>
    </w:p>
    <w:p>
      <w:r>
        <w:rPr>
          <w:b/>
        </w:rPr>
        <w:t>E. 2.2</w:t>
      </w:r>
    </w:p>
    <w:p>
      <w:r>
        <w:t>La cour cantonale a constaté que le recourant était parti au volant de son véhicule sans laisser son nom ni son adresse, alors que H.C.________ lui avait demandé de rester pour constater le dommage. Il avait ainsi violé son obligation de demeurer sur place et, par conséquent, ses devoirs en cas d'accident, ce qu'il ne contestait du reste pas. Rien ne permettait de retenir que, le soir des faits, le propriétaire de la voiture endommagée aurait renoncé à appeler la police (cf. art. 56 al. 2 OCR ). Compte tenu de l'acharnement du recourant à nier sa responsabilité dans la survenance de l'accident, on pouvait penser, au contraire, que le propriétaire du véhicule endommagé aurait sans doute alerté la police, ce qu'il avait d'ailleurs fait à la suite du départ du recourant.</w:t>
      </w:r>
    </w:p>
    <w:p>
      <w:r>
        <w:t>Le recourant avait heurté le véhicule de C.C.________ sans qu'aucun élément particulier ne puisse expliquer un tel choc. La place de parc, plane, était éclairée; les conditions météorologiques, bonnes; la chaussée, sèche, et les véhicules impliqués étaient séparés de plusieurs mètres. Le fait que la voiture du lésé était garée en dehors d'une case prévue à cet effet ne constituait pas un élément extraordinaire, compte tenu de la configuration des lieux (cf. dossier, pièce 23). Par ailleurs, H.C.________ avait souligné que l'intéressé était " fortement aviné " car il éprouvait " des difficultés à articuler " et avait eu du mal à démarrer. Il n'avait d'ailleurs même pas ressenti le choc de son véhicule contre celui de C.C.________. Dans cette configuration, l'ordre de se soumettre à un contrôle d'alcoolémie apparaissait comme hautement vraisemblable. C'était sans doute pour cette raison que l'intéressé avait décidé de quitter les lieux, alors même que H.C.________ lui demandait de demeurer sur place. Ces éléments ne pouvaient avoir échappé au recourant, de sorte que tant les aspects objectifs que subjectifs de l'infraction étaient réalisés.</w:t>
      </w:r>
    </w:p>
    <w:p>
      <w:r>
        <w:rPr>
          <w:b/>
        </w:rPr>
        <w:t>E. 2.3</w:t>
      </w:r>
    </w:p>
    <w:p>
      <w:r>
        <w:t>Le recourant soutient que l'emplacement de la voiture de C.C.________, hors case, permettait d'expliquer l'incident. De plus, il faisait nuit, l'éclairage du parking était faible et les voitures se trouvaient à proximité. L'impact entre les deux voitures avait été extrêmement faible et ne pouvait lui permettre de se rendre compte de l'accrochage. Constatant l'absence de dégâts, il avait quitté les lieux sans se douter que la police serait appelée. D'ailleurs, H.C.________ a déclaré qu'elle aurait accepté d'établir un constat à l'amiable, ce qui indiquait qu'elle n'aurait pas appelé la police et contredisait son affirmation selon laquelle le recourant était aviné. Il était légèrement malentendant et ne portait pas ses appareils acoustiques lors des faits, ce qui pouvait expliquer une expression moins sûre. En outre, sa consommation d'alcool (une bière et 2 dl de vin rouge) n'était pas déterminante pour retenir la haute vraisemblance de la mesure du taux d'alcoolémie et le test d'alcoolémie s'était révélé négatif. Enfin, dans la mesure où le message laissé par les policiers sur la boîte vocale de son téléphone n'invoquait aucune urgence particulière, il était fort peu probable que les policiers concernés aient eu l'intention de procéder à une mesure du taux d'alcoolémie et encore plus improbable qu'il ait eu ou pu avoir conscience qu'en les rappelant, il allait être soumis à un tel test.</w:t>
      </w:r>
    </w:p>
    <w:p>
      <w:r>
        <w:rPr>
          <w:b/>
        </w:rPr>
        <w:t>E. 2.4</w:t>
      </w:r>
    </w:p>
    <w:p>
      <w:r>
        <w:t>Il n'appartient pas au Tribunal fédéral de procéder à une nouvelle appréciation des moyens de preuve. Dans la mesure où l'argumentation du recourant tend essentiellement à substituer une appréciation différente de celle de l'autorité précédente - c'est notamment le cas lorsque l'intéressé présente sa propre description des lieux et de l'incident, avance des hypothèses censées démontrer qu'il n'était pas aviné, suppose que la police n'aurait pas été avisée de l'incident, ou encore soutient que la teneur de son message vocal laissait penser qu'elle n'aurait pas contrôlé son alcoolémie -, elle est appellatoire et donc irrecevable au regard de la jurisprudence susmentionnée relative à l' art. 97 al. 1 LTF . Au demeurant, il n'était pas insoutenable de retenir que le parcage de C.C.________ en dehors d'une case n'expliquait pas l'accident, car le recourant aurait dû s'apercevoir de la présence d'un véhicule à l'arrêt sur sa trajectoire. Enfin, le recourant ne peut rien tirer du fait que le résultat du test d'ébriété ait été négatif, ce contrôle n'ayant pu être réalisé que près de 18 heures après les faits.</w:t>
      </w:r>
    </w:p>
    <w:p>
      <w:r>
        <w:t>Comme rappelé ci-dessus (consid. 2.1), le principe veut que le conducteur s'attende à un contrôle de l'alcoolémie à l'alcootest en cas d'accident, sous réserve que celui-ci soit " indubitablement imputable à une cause totalement indépendante du conducteur ". En l'espèce, sur la base des faits retenus par la cour cantonale, dont le caractère arbitraire n'a pas été démontré, aucune cause manifestement indépendante de la personne du recourant n'explique pourquoi celui-ci a percuté un véhicule à l'arrêt. Partant, la cour cantonale n'a pas violé le droit fédéral en retenant que l'ordre de se soumettre à une mesure de constatation de l'état d'incapacité de conduire apparaissait objectivement comme hautement vraisemblable, ce qui ne pouvait échapper au recourant. Le grief tiré d'une violation de l' art. 91a LCR est infondé dans la mesure de sa recevabilité.</w:t>
      </w:r>
    </w:p>
    <w:p>
      <w:r>
        <w:rPr>
          <w:b/>
        </w:rPr>
        <w:t>E. 3</w:t>
      </w:r>
    </w:p>
    <w:p>
      <w:r>
        <w:t>Au vu de ce qui précède,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