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730/2015 vom 22. September 2015</w:t>
      </w:r>
    </w:p>
    <w:p>
      <w:r>
        <w:t>Bundesgericht, 2015-09-22, DE</w:t>
      </w:r>
    </w:p>
    <w:p>
      <w:r>
        <w:rPr>
          <w:b/>
        </w:rPr>
        <w:t xml:space="preserve">Quelle: </w:t>
      </w:r>
      <w:r>
        <w:t>https://mcp.opencaselaw.ch/entscheid/bger_6B_730_2015</w:t>
      </w:r>
    </w:p>
    <w:p>
      <w:r>
        <w:t>FR: TF 6B 730/2015 du 22 septembre 2015</w:t>
      </w:r>
    </w:p>
    <w:p>
      <w:r>
        <w:t>IT: TF 6B 730/2015 del 22 settembre 2015</w:t>
      </w:r>
    </w:p>
    <w:p>
      <w:pPr>
        <w:pStyle w:val="Heading2"/>
      </w:pPr>
      <w:r>
        <w:t>Regeste</w:t>
      </w:r>
    </w:p>
    <w:p>
      <w:r>
        <w:t>Revision (vollendenter Versuch zu vorsätzlicher Tötung) | Strafprozess</w:t>
      </w:r>
    </w:p>
    <w:p>
      <w:pPr>
        <w:pStyle w:val="Heading2"/>
      </w:pPr>
      <w:r>
        <w:t>Erwägungen</w:t>
      </w:r>
    </w:p>
    <w:p>
      <w:r>
        <w:rPr>
          <w:b/>
        </w:rPr>
        <w:t>E. 1</w:t>
      </w:r>
    </w:p>
    <w:p>
      <w:r>
        <w:t>Der Beschwerdeführer, der früher unter einem anderen Namen auftrat, beschwert sich beim Bundesgericht dagegen, dass das Obergericht des Kantons Zürich am 6. Juli 2015 auf ein neuntes Revisionsgesuch gegen die gleiche Verurteilung nicht eintrat, weil er erneut nur vorbrachte, was schon Gegenstand der früheren Revisionsgesuche war. Was am angefochtenen Entscheid gegen das Recht im Sinne von Art. 95 BGG verstossen könnte, ist der Beschwerde wie schon in früheren Verfahren vor Bundesgericht (vgl. Urteile 6B_971/2013 vom 9. Dezember 2013 und 6B_708/2014 vom 17. Oktober 2014) einmal mehr nicht zu entnehmen. Auf die Beschwerde ist mangels einer tauglichen Begründung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