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72/2024 vom 25. März 2024</w:t>
      </w:r>
    </w:p>
    <w:p>
      <w:r>
        <w:t>Bundesgericht, 2024-03-25, FR</w:t>
      </w:r>
    </w:p>
    <w:p>
      <w:r>
        <w:rPr>
          <w:b/>
        </w:rPr>
        <w:t xml:space="preserve">Quelle: </w:t>
      </w:r>
      <w:r>
        <w:t>https://mcp.opencaselaw.ch/entscheid/bger_6B_72_2024</w:t>
      </w:r>
    </w:p>
    <w:p>
      <w:r>
        <w:t>FR: TF 6B 72/2024 du 25 mars 2024</w:t>
      </w:r>
    </w:p>
    <w:p>
      <w:r>
        <w:t>IT: TF 6B 72/2024 del 25 marzo 2024</w:t>
      </w:r>
    </w:p>
    <w:p>
      <w:pPr>
        <w:pStyle w:val="Heading2"/>
      </w:pPr>
      <w:r>
        <w:t>Regeste</w:t>
      </w:r>
    </w:p>
    <w:p>
      <w:r>
        <w:t>Fixation de la peine, révocation du sursis; arbitraire | Droit pénal (en général)</w:t>
      </w:r>
    </w:p>
    <w:p>
      <w:pPr>
        <w:pStyle w:val="Heading2"/>
      </w:pPr>
      <w:r>
        <w:t>Erwägungen</w:t>
      </w:r>
    </w:p>
    <w:p>
      <w:r>
        <w:rPr>
          <w:b/>
        </w:rPr>
        <w:t>E. 1</w:t>
      </w:r>
    </w:p>
    <w:p>
      <w:r>
        <w:t>Le recourant produit des pièces à l'appui de son recours. Dans la mesure où ces pièces ne figureraient pas déjà à la procédure, elles sont nouvelles, partant, irrecevables ( art. 99 al. 1 LTF ).</w:t>
      </w:r>
    </w:p>
    <w:p>
      <w:r>
        <w:rPr>
          <w:b/>
        </w:rPr>
        <w:t>E. 2</w:t>
      </w:r>
    </w:p>
    <w:p>
      <w:r>
        <w:t>S'agissant de la fixation de la peine, le recourant conteste le genre et la quotité de la peine infligée.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2.2</w:t>
      </w:r>
    </w:p>
    <w:p>
      <w:r>
        <w:t>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la sanction doit être opéré en tenant compte au premier chef de l'adéquation de la peine, de ses effets sur l'auteur et sur sa situation sociale ainsi que de son efficacité du point de vue de la prévention ( ATF 147 IV 241 consid. 3.2; 144 IV 313 consid. 1.1.1 et les références citées). Conformément à l' art. 41 al. 2 CP , lorsque le juge choisit de prononcer à la place d'une peine pécuniaire une peine privative de liberté, il doit motiver le choix de cette dernière peine de manière circonstanciée.</w:t>
      </w:r>
    </w:p>
    <w:p>
      <w:r>
        <w:rPr>
          <w:b/>
        </w:rPr>
        <w:t>E. 2.3</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w:t>
      </w:r>
    </w:p>
    <w:p>
      <w:r>
        <w:rPr>
          <w:b/>
        </w:rPr>
        <w:t>E. 2.4</w:t>
      </w:r>
    </w:p>
    <w:p>
      <w:r>
        <w:t>Il ressort du jugement attaqué que, avant l'accident du 10 novembre 2020, le recourant a été condamné à quatre reprises par les autorités fribourgeoises en 2013, 2017, 2018 et 2020. Le travail d'intérêt général (en 2013) a été prononcé avec sursis partiel et toutes les autres peines l'ont été avec sursis complet (peines pécuniaires en 2017 et 2018 et peine privative de liberté en 2020). Il a été renoncé une fois à la révocation du sursis accordé en 2013, deux fois à la révocation du sursis accordé en 2017, une fois à la révocation du sursis accordé en 2018 et deux fois à la révocation du sursis accordé en 2020. Le sursis accordé en 2018 a été prolongé d'une année et celui accordé en 2020 a été prolongé de deux ans. Le sursis accordé en 2018 a finalement été révoqué le 31 mai 2021. S'agissant des mesures administratives, le recourant s'est vu retirer son permis de conduire trois fois, soit en 2006 pour 4 mois (ébriété), en 2007 pour une année (ébriété et distance insuffisante) et en 2013 pour une durée indéterminée (ébriété et entrave à la prise de sang). Ce dernier retrait de permis a été révoqué le 3 août 2017 sous conditions spéciales jusqu'au 2 août 2018. A la suite de l'accident faisant l'objet de la présente procédure, le recourant s'est à nouveau vu retirer son permis pour une durée indéterminée, avec délai d'attente de 5 ans jusqu'au 9 novembre 2025. La cour cantonale a conclu que le pronostic était résolument défavorable. En effet, alors que le recourant avait déjà conduit par le passé plusieurs fois en état d'ébriété (et provoqué deux accidents) et que son permis de conduire lui avait déjà été retiré trois fois, la dernière fois pour une durée indéterminée avec un délai d'attente de deux ans, cela ne l'avait pas empêché de reprendre le volant avec une alcoolémie de 2,43 g/kg et de provoquer une grave collision frontale, blessant la passagère avant de la voiture arrivant normalement en sens inverse. Comme indiqué par le premier juge, c'était un miracle qu'il n'y avait pas eu de morts. Le recourant se prévalait du fait que, depuis mars 2023, il bénéficiait d'un suivi mensuel auprès du Centre cantonal d'addictologie à U.________ pour traiter sa problématique d'addiction à l'alcool, ce qui démontrerait sa volonté de reprendre sa vie en mains et de récupérer la garde de son fils. Or, une telle volonté devait être fortement relativisée puisque le recourant avait recouru le 27 avril 2023 - sans succès - contre la décision de la Justice de paix de l'arrondissement de la Broye (FR) du 5 décembre 2022 qui conditionnait l'exercice de son droit de visite sur son enfant à un suivi régulier auprès de cette même institution. A cela s'ajoutait que le recourant avait récidivé en cours d'enquête: en janvier 2021, il avait refusé d'obtempérer aux ordres des policiers qui avaient dû s'interposer entre lui et sa compagne, alcoolisés, et il avait menacé un collaborateur de l'institution au sein de laquelle son fils avait été placé de débarquer dans l'établissement avec un pistolet "s'il (s) ne faisaient pas bien attention"; en avril et mai 2021, il avait encore eu un comportement violent envers sa partenaire (voies de fait et lésions corporelles simples). Le recourant se moquait de l'ordre juridique et des conséquences que pouvaient entraîner ses actes. |l n'avait su saisir aucune des nombreuses chances qui lui avaient été accordées sous forme de non-révocations de sursis à des peines pécuniaires et de prolongations du délai d'épreuve. Il aurait été vain de conditionner un éventuel sursis à des règles de conduite, puisque le recourant n'avait pas respecté celles prononcées le 30 octobre 2018, notamment concernant l'abstinence à l'alcool. E n l'état, seule une peine privative de liberté ferme était à même d'amender durablement l'intéressé et de diminuer autant que faire se peut l'important risque qu'il représentait pour la sécurité routière et l'intégrité corporelle, voire la vie, d'autrui. En outre, la cour cantonale a exposé que le fait que le recourant devait exécuter la peine privative de liberté ferme nouvellement infligée ne suffisait pas à le détourner de la commission de nouvelles infractions, de sorte que la révocation du sursis de 5 ans à la peine privative de liberté de 180 jours accordé le 7 janvier 2020 s'imposait, pour des motifs de prévention spéciale c'est-à-dire pour que le recourant puisse mesurer concrètement la gravité de sa récidive et comprendre que l'autorité ne tolérerait plus aucun écart en matière de circulation routière.</w:t>
      </w:r>
    </w:p>
    <w:p>
      <w:r>
        <w:rPr>
          <w:b/>
        </w:rPr>
        <w:t>E. 2.5</w:t>
      </w:r>
    </w:p>
    <w:p>
      <w:r>
        <w:t>Le recourant soutient que c'est à tort que la cour cantonale a retenu que seule une peine privative de liberté lui permettra de se détourner de commettre d'autres infractions.</w:t>
      </w:r>
    </w:p>
    <w:p>
      <w:r>
        <w:rPr>
          <w:b/>
        </w:rPr>
        <w:t>E. 2.5.1</w:t>
      </w:r>
    </w:p>
    <w:p>
      <w:r>
        <w:t>En l'occurrence, il ressort du jugement attaqué que, pour des motifs de prévention spéciale, seule une peine privative de liberté pouvait être prononcée. En effet, le recourant a déjà été condamné une fois à du travail d'intérêt général et deux fois à des peines pécuniaires. Par ailleurs, tel que l'a exposé la cour cantonale, le recourant n'a su saisir aucune des nombreuses chances qui lui ont été accordées sous forme de non-révocations de sursis à des peines pécuniaires et de prolongations du délai d'épreuve (cf. supra consid. 2.4). Il est donc difficilement soutenable qu'une peine pécuniaire soit à même de dissuader le recourant de commettre de nouvelles infractions.</w:t>
      </w:r>
    </w:p>
    <w:p>
      <w:r>
        <w:rPr>
          <w:b/>
        </w:rPr>
        <w:t>E. 2.5.2</w:t>
      </w:r>
    </w:p>
    <w:p>
      <w:r>
        <w:t>C'est dès lors sans abuser de son large pouvoir d'appréciation que la cour cantonale a condamné le recourant à une peine privative de liberté pour les infractions qui lui sont reprochées. Mal fondé, le grief doit, partant, être rejeté.</w:t>
      </w:r>
    </w:p>
    <w:p>
      <w:r>
        <w:rPr>
          <w:b/>
        </w:rPr>
        <w:t>E. 2.6</w:t>
      </w:r>
    </w:p>
    <w:p>
      <w:r>
        <w:t>Le recourant soutient ensuite q u' il est manifeste que la peine privative de liberté de 180 jours infligée est disproportionnée, dans la mesure où il a pris conscience de son acte, qu'il regrette amèrement et pour lequel il s'est excusé envers la victime à plusieurs reprises. Il fait également valoir qu'il a pris en main son problème d'addiction à l'alcool en se rendant tous les mois à une thérapie au Centre cantonal d'addictologie qu'il prend très au sérieux, dans la mesure où il est primordial pour lui de récupérer la garde de son jeune fils. Il explique qu'il a l'intention de continuer à bénéficier du suivi CCA, considérant que ce suivi lui apporte du soutien et de la stabilité dans sa vie quotidienne, tout en lui permettant de travailler sur son abstinence. Il soutient également que son suivi auprès du CCA depuis mars 2023 s'est révélé positif, puisqu'il a réussi à mettre définitivement fin à sa consommation d'alcool. En l'espèce, le recourant invoque des éléments qui ne ressortent pas du jugement attaqué, sans démontrer l'arbitraire de leur omission, de sorte que son argumentation est irrecevable. Au demeurant, il n'est pas concevable de retenir que le recourant a pris conscience de son acte et qu'il s'est bien comporté, dès lors que, comme l'a relevé la cour cantonale, outre l'accident du 10 novembre 2020 qui fait l'objet de la présente procédure, il a encore été condamné le 31 mai 2021 pour opposition aux actes de l'autorité le 9 janvier 2021 et menaces proférées les 27-28 janvier 2021, ainsi que le 5 novembre 2021 pour voies de fait commises contre le partenaire entre le 4 juin 2019 et le 7 avril 2021 et lésions corporelles simples commises contre le partenaire le 10 mai 2021. Le grief est rejeté dans la mesure où il est recevable.</w:t>
      </w:r>
    </w:p>
    <w:p>
      <w:r>
        <w:rPr>
          <w:b/>
        </w:rPr>
        <w:t>E. 2.7</w:t>
      </w:r>
    </w:p>
    <w:p>
      <w:r>
        <w:t>Le recourant invoque l' art. 48 let . e CP.</w:t>
      </w:r>
    </w:p>
    <w:p>
      <w:r>
        <w:rPr>
          <w:b/>
        </w:rPr>
        <w:t>E. 2.7.1</w:t>
      </w:r>
    </w:p>
    <w:p>
      <w:r>
        <w:t>Aux termes de l' art. 48 let .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132 IV 1 consid. 6.1 et 6.2).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w:t>
      </w:r>
    </w:p>
    <w:p>
      <w:r>
        <w:rPr>
          <w:b/>
        </w:rPr>
        <w:t>E. 2.7.2</w:t>
      </w:r>
    </w:p>
    <w:p>
      <w:r>
        <w:t>En l'espèce, les faits pour lesquels le recourant a été condamné ont eu lieu en novembre 2020, soit il y a un peu plus de trois ans au moment du jugement attaqué. Il s'ensuit que les deux tiers du délai de prescription (cf. art. 97 al. 1 let . c CP) n'étaient de loin pas atteints au moment du jugement attaqué. En outre, vu les infractions commises depuis lors, l'on ne saurait retenir que l'auteur s'est bien comporté dans l'intervalle. Le grief est rejeté.</w:t>
      </w:r>
    </w:p>
    <w:p>
      <w:r>
        <w:rPr>
          <w:b/>
        </w:rPr>
        <w:t>E. 2.8</w:t>
      </w:r>
    </w:p>
    <w:p>
      <w:r>
        <w:t>En définitive, le recourant ne cite aucun élément important, propre à modifier la peine, qui aurait été omis ou pris en considération à tort par la cour cantonale, ni ne démontre que la cour cantonale aurait dû pondérer différemment l'un ou l'autre élément. Au regard des circonstances, il n'apparaît donc pas que la cour cantonale aurait abusé du large pouvoir d'appréciation dont elle disposait en fixant la quotité de la peine infligée au recourant. Le grief de violation de l' art. 47 CP est, dès lors, infondé.</w:t>
      </w:r>
    </w:p>
    <w:p>
      <w:r>
        <w:rPr>
          <w:b/>
        </w:rPr>
        <w:t>E. 3</w:t>
      </w:r>
    </w:p>
    <w:p>
      <w:r>
        <w:t>Le recourant conteste la révocation du sursis accordé le 7 janvier 2020.</w:t>
      </w:r>
    </w:p>
    <w:p>
      <w:r>
        <w:rPr>
          <w:b/>
        </w:rPr>
        <w:t>E. 3.1</w:t>
      </w:r>
    </w:p>
    <w:p>
      <w:r>
        <w:t>Aux termes de l' art. 46 al. 1 CP si, durant le délai d'épreuve, le condamné commet un crime ou un délit et qu'il y a dès lors lieu de prévoir qu'il commettra de nouvelles infractions, le juge révoque le sursis ou le sursis partiel. Selon l' art. 46 al. 2 1 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Par analogie avec l' art. 42 al. 1 et 2 CP , le juge se fonde sur une appréciation globale des circonstances du cas d'espèce pour estimer le risque de récidive ( ATF 134 IV 140 consid. 4.4; arrêts 6B_1520/2022 du 5 septembre 2023 consid. 5.2; 6B_1311/2021 du 22 novembre 2022 consid. 3.1; 6B_756/2021 du 23 mars 2022 consid. 2.1; 6B_93/2021 du 6 octobre 2021 consid. 3.1).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 ATF 135 IV 180 consid. 2.1; 134 IV 1 consid. 4.2.1; arrêts 6B_1520/2022 précité consid. 5.2; 6B_1311/2021 précité consid. 3.1). Lors de l'appréciation des perspectives d'amendement, le juge doit prendre en considération l'effet dissuasif que la nouvelle peine peut exercer, si elle est exécutée ( ATF 134 IV 140 consid. 4.4 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arrêts 6B_1520/2022 précité consid. 5.2; 6B_756/2021 précité consid. 2.1).</w:t>
      </w:r>
    </w:p>
    <w:p>
      <w:r>
        <w:rPr>
          <w:b/>
        </w:rPr>
        <w:t>E. 3.2</w:t>
      </w:r>
    </w:p>
    <w:p>
      <w:r>
        <w:t>C'est tout d'abord en vain que le recourant reproche à la cour cantonale d'avoir omis de prendre en compte l'argumentation présentée dans son mémoire d'appel, dès lors que ce sont des allégués et qu'il ne démontre pas que la cour cantonale aurait arbitrairement omis de les retenir.</w:t>
      </w:r>
    </w:p>
    <w:p>
      <w:r>
        <w:rPr>
          <w:b/>
        </w:rPr>
        <w:t>E. 3.3</w:t>
      </w:r>
    </w:p>
    <w:p>
      <w:r>
        <w:t>Par ailleurs, constituant des faits et moyens de preuve nouveaux, les allégations du recourant relatives aux démarches et les efforts déployés pour obtenir la garde de son fils ne peuvent pas être pris en considération (cf. art. 99 al. 1 LTF ; supra consid. 1).</w:t>
      </w:r>
    </w:p>
    <w:p>
      <w:r>
        <w:rPr>
          <w:b/>
        </w:rPr>
        <w:t>E. 3.4</w:t>
      </w:r>
    </w:p>
    <w:p>
      <w:r>
        <w:t>Le recourant reproche également à la cour cantonale d'avoir ignoré les certificats de suivi auprès du CCA produits dans son mémoire d'appel (pièces 1 à 4 du bordereau de pièces de la déclaration d'appel; pièce 5 du bordereau de pièces du mémoire d'appel motivé du 12 octobre 2023), prouvant son abstinence à l'alcool. A cet égard, force est de constater que les certificats de suivi du CCA dont le recourant se prévaut ne font qu'attester que celui-ci s'est rendu au CCA, ce qui permet tout au plus de prouver que le recourant s'y rend régulièrement pour traiter son problème lié à l'alcool, mais pas qu'il est abstinent. Le recourant ne démontre ainsi pas l'arbitraire dans l'omission de ces documents par la cour cantonale. Son grief est rejeté dans la mesure où il est recevable.</w:t>
      </w:r>
    </w:p>
    <w:p>
      <w:r>
        <w:rPr>
          <w:b/>
        </w:rPr>
        <w:t>E. 3.5</w:t>
      </w:r>
    </w:p>
    <w:p>
      <w:r>
        <w:t>En reprochant à la cour cantonale d'avoir fait abstraction du bon déroulement du camp père/enfants ayant eu lieu du 23 au 28 juillet 2023, auquel le recourant avait participé avec son fils, et qui s'est bien déroulé selon les intervenants, le recourant invoque des éléments qui ne ressortent pas du jugement attaqué sans démontrer l'arbitraire de leur omission par la cour cantonale. Son argumentation est, dès lors, irrecevable.</w:t>
      </w:r>
    </w:p>
    <w:p>
      <w:r>
        <w:rPr>
          <w:b/>
        </w:rPr>
        <w:t>E. 3.6</w:t>
      </w:r>
    </w:p>
    <w:p>
      <w:r>
        <w:t>Pour le surplus, le recourant met en avant la récente stabilité qu'il a pu établir dans les relations avec son fils, sa volonté de mettre les intérêts de son fils au premier plan ainsi que la mise en péril de leur relation et la souffrance de son fils dans l'éventualité où il devrait purger la peine infligée. Toutefois, on peine à voir en quoi sa relation avec son fils serait pertinente s'agissant du pronostic de récidive, dans la mesure où celui-ci repose sur ses nombreux antécédents, les mesures administratives prononcées à son encontre et ses récidives en cours d'enquête et qu'au demeurant, jusqu'à présent, sa relation avec son fils ne l'a pas empêché de commettre des infractions. Le grief est rejeté dans la mesure où il est recevable.</w:t>
      </w:r>
    </w:p>
    <w:p>
      <w:r>
        <w:rPr>
          <w:b/>
        </w:rPr>
        <w:t>E. 4</w:t>
      </w:r>
    </w:p>
    <w:p>
      <w:r>
        <w:t>Le recourant considère que la cour cantonale a retenu à tort qu'il serait vain de conditionner un éventuel sursis à des règles de conduite.</w:t>
      </w:r>
    </w:p>
    <w:p>
      <w:r>
        <w:rPr>
          <w:b/>
        </w:rPr>
        <w:t>E. 4.1</w:t>
      </w:r>
    </w:p>
    <w:p>
      <w:r>
        <w:t>Aux termes de l' art. 44 CP ,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 L' art. 44 al. 2 CP donne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 ATF 130 IV 1 consid. 2.1).</w:t>
      </w:r>
    </w:p>
    <w:p>
      <w:r>
        <w:rPr>
          <w:b/>
        </w:rPr>
        <w:t>E. 4.2</w:t>
      </w:r>
    </w:p>
    <w:p>
      <w:r>
        <w:t>Par son argumentation, le recourant oppose essentiellement sa propre appréciation à celle de la cour cantonale. A cet égard, en tant qu'il expose qu'il se bat pour obtenir la garde de son fils et qu'il pourra l'obtenir dans un avenir proche, il invoque des éléments qui ne ressortent pas du jugement attaqué, sans démontrer l'arbitraire de leur omission. Son argumentation est, partant, irrecevable. Au demeurant, le raisonnement de la cour cantonale ne prête pas le flanc à la critique. En effet, c'est sans violer le droit fédéral qu'elle a considéré qu'il aurait été vain de conditionner un éventuel sursis à des règles de conduite compte tenu du fait que le recourant n'a pas respecté celles prononcées le 30 octobre 2018, notamment concernant l'abstinence à l'alcool. Le grief est rejeté dans la mesure où il est recevable.</w:t>
      </w:r>
    </w:p>
    <w:p>
      <w:r>
        <w:rPr>
          <w:b/>
        </w:rPr>
        <w:t>E. 5</w:t>
      </w:r>
    </w:p>
    <w:p>
      <w:r>
        <w:t>Au vu de ce qui précède,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