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6B_728/2024 vom 20. November 2024</w:t>
      </w:r>
    </w:p>
    <w:p>
      <w:r>
        <w:t>Bundesgericht, 2024-11-20, DE</w:t>
      </w:r>
    </w:p>
    <w:p>
      <w:r>
        <w:rPr>
          <w:b/>
        </w:rPr>
        <w:t xml:space="preserve">Quelle: </w:t>
      </w:r>
      <w:r>
        <w:t>https://mcp.opencaselaw.ch/entscheid/bger_6B_728_2024</w:t>
      </w:r>
    </w:p>
    <w:p>
      <w:r>
        <w:t>FR: TF 6B_728/2024 du 20 novembre 2024</w:t>
      </w:r>
    </w:p>
    <w:p>
      <w:r>
        <w:t>IT: TF 6B_728/2024 del 20 novembre 2024</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worauf die Beschwerde abzielt ( BGE 137 II 313 E. 1.3; Urteile 7B_949/2023 vom 27. September 2024 E. 1.1; 6B_13/2024 vom 21. Mai 2024 E. 1.1; je mit Hinweisen). Hier ergibt sich aus der Begründung, dass der Beschwerdeführer einen Freispruch anstrebt, womit trotz mangelhaft formuliertem Antrag grundsätzlich auf die Beschwerde eingetreten werden kann.</w:t>
      </w:r>
    </w:p>
    <w:p>
      <w:r>
        <w:rPr>
          <w:b/>
        </w:rPr>
        <w:t>E. 2.1</w:t>
      </w:r>
    </w:p>
    <w:p>
      <w:r>
        <w:t>Der Beschwerdeführer rügt eine Verletzung seines Anspruchs auf rechtliches Gehör. In diesem Zusammenhang trägt er unter der Überschrift "Ad Glaubwürdigkeit der Beschwerdegegnerin" vor, in seiner Berufung habe er darauf hingewiesen, dass die Erstinstanz "mit aller Deutlichkeit kundgetan" habe, "wie angeblich brutal" er die Beschwerdegegnerin 2 gemäss deren Aussagen wiederholt behandelt habe. Er habe in seiner Berufung hervorgehoben, dass die Beschwerdegegnerin 2, obwohl sie als Krankenschwester gearbeitet habe, nie zum Arzt gegangen sei, keinen Arztbericht eingereicht und nie Hilfe bei einer Fachperson geholt habe. Deshalb sei sie entgegen den Feststellungen der Erstinstanz "eben gerade nicht glaubwürdig". Die Vorinstanz habe "dieses Vorbringen mit der unhaltbaren Feststellung abgeschmettert", es sei gerichtsnotorisch, dass Opfer häuslicher Gewalt oft jahrelang nicht zum Arzt gingen, womit sie "klar gegen ihre Pflicht zur Beweiswürdigung und gegen ihre Begründungspflicht verstossen" habe. Ausserdem habe er mehrfach dargelegt, dass die Beschwerdegegnerin 2 ihre Strafanzeige erst eingereicht habe, nachdem sie den superprovisorischen Entscheid betreffend Zuteilung der Obhut erhalten habe. Im Zusammenhang mit dem laufenden Eheschutz- und späteren Scheidungsverfahren habe sie grosses Interesse daran, ihn als gewalttätige Person darzustellen. Dazu habe die Vorinstanz erwogen, dieser Zusammenhang schmälere die Glaubwürdigkeit der Beschwerdegegnerin 2 nicht. Das Gleiche gelte für seine Argumentation zur WhatsApp-Nachricht der Beschwerdegegnerin 2 vom 6. November 2019, in der sie ihm ihre Liebe beteuert habe. Dies sei "von der Vorinstanz nicht ausreichend behandelt" worden.</w:t>
      </w:r>
    </w:p>
    <w:p>
      <w:r>
        <w:rPr>
          <w:b/>
        </w:rPr>
        <w:t>E. 2.2</w:t>
      </w:r>
    </w:p>
    <w:p>
      <w:r>
        <w:t>Sodann rügt der Beschwerdeführer eine Verletzung des Grundsatzes "in dubio pro reo" als Beweiswürdigungsregel. In diesem Kontext trägt er vor, er habe in seiner Berufung dargelegt, dass erhebliche Zweifel bestünden, ob sich der Vorfall vom Sommer 2018 und der "Vorfall mit der Scherbe" wirklich so zugetragen habe wie von der Beschwerdegegnerin 2 geschildert. Die genauen Umstände dieser Vorfälle seien nicht nur ungenügend, sondern überhaupt nicht ermittelt worden. In den Akten gebe es keinen konkreten Hinweis für ein Würgemal. Die Beschwerdegegnerin 2 sei nach dem behaupteten Vorfall zur Arbeit gefahren. Dies belege, dass es sich nicht um einen Vorfall von einer gewissen Intensität gehandelt habe. Daher hätte ihn die Vorinstanz "in dubio pro reo" freisprechen müssen.</w:t>
      </w:r>
    </w:p>
    <w:p>
      <w:r>
        <w:rPr>
          <w:b/>
        </w:rPr>
        <w:t>E. 3.1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4</w:t>
      </w:r>
    </w:p>
    <w:p>
      <w:r>
        <w:t>Die Rügen dringen nicht durch.</w:t>
      </w:r>
    </w:p>
    <w:p>
      <w:r>
        <w:rPr>
          <w:b/>
        </w:rPr>
        <w:t>E. 4.1</w:t>
      </w:r>
    </w:p>
    <w:p>
      <w:r>
        <w:t>Wo der anwaltlich vertretene Beschwerdeführer eine Verletzung seines Anspruchs auf rechtliches Gehör rügt, greift er in Wahrheit die vorinstanzliche Beweiswürdigung an. Dabei scheint er zu übersehen, dass das Bundesgericht keine Appellationsinstanz ist, welche die Beweiswürdigung frei überprüft. Vielmehr greift das höchste Gericht nur ein, wenn die vorinstanzliche Sachverhaltsfeststellung offensichtlich unrichtig ist. Um dies zu begründen, hätte der Beschwerdeführer aufzeigen müssen, dass die Vorinstanz Sinn und Tragweite eines Beweismittels offensichtlich verkannt, dass sie ohne sachlichen Grund ein wichtiges und entscheidwesentliches Beweismittel unberücksichtigt gelassen oder dass sie auf der Grundlage der festgestellten Tatsachen unhaltbare Schlussfolgerungen gezogen hat. Dass die von der Vorinstanz gezogenen Schlüsse nicht mit der Darstellung des Beschwerdeführers übereinstimmen, belegt keine Willkür.</w:t>
      </w:r>
    </w:p>
    <w:p>
      <w:r>
        <w:rPr>
          <w:b/>
        </w:rPr>
        <w:t>E. 4.2</w:t>
      </w:r>
    </w:p>
    <w:p>
      <w:r>
        <w:t>Zudem scheint der Beschwerdeführer zu verkennen, dass dem Grundsatz "in dubio pro reo" als Beweiswürdigungsregel im Verfahren vor Bundesgericht keine über das Willkürverbot hinausgehende Bedeutung zukommt ( BGE 148 IV 409 E. 2.2; 146 IV 88 E. 1.3.1). Jedenfalls legt er keine Willkür dar. Er ist daran zu erinnern, dass für die Annahme von Willkür nicht einmal genügen würde, dass eine andere Lösung oder Würdigung ebenfalls vertretbar oder gar zutreffender erscheint. Vielmehr hätte er aufzeigen müssen, dass das angefochtene Urteil nicht nur in der Begründung, sondern auch im Ergebnis schlechterdings unhaltbar ist.</w:t>
      </w:r>
    </w:p>
    <w:p>
      <w:r>
        <w:rPr>
          <w:b/>
        </w:rPr>
        <w:t>E. 4.3</w:t>
      </w:r>
    </w:p>
    <w:p>
      <w:r>
        <w:t>Schliesslich entgeht dem Beschwerdeführer, dass der allgemeinen Glaubwürdigkeit im Sinne einer dauerhaften personalen Eigenschaft einer Person nach der Rechtsprechung kaum mehr relevante Bedeutung zukommt. Weitaus bedeutender für die Wahrheitsfindung ist die Glaubhaftigkeit der konkreten Aussagen ( BGE 147 IV 409 E. 5.4.3 mit Hinweisen). Mit den konkreten Aussagen der Beschwerdegegnerin 2 setzt sich der Beschwerdeführer aber nicht auseinander. Er zeigt nicht auf, welche Aussagen der Beschwerdegegnerin 2 aus welchen Gründen unglaubhaft sein sollen. Vielmehr erschöpft sich sein Vorbringen in einer unzulässigen appellatorischen Kritik am angefochtenen Urteil. Damit begründet er keine Willkür in der Sachverhaltsfeststellung.</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