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6B_728/2019 vom 6. August 2019</w:t>
      </w:r>
    </w:p>
    <w:p>
      <w:r>
        <w:t>Bundesgericht, 2019-08-06, FR</w:t>
      </w:r>
    </w:p>
    <w:p>
      <w:r>
        <w:rPr>
          <w:b/>
        </w:rPr>
        <w:t xml:space="preserve">Quelle: </w:t>
      </w:r>
      <w:r>
        <w:t>https://mcp.opencaselaw.ch/entscheid/bger_6B_728_2019</w:t>
      </w:r>
    </w:p>
    <w:p>
      <w:r>
        <w:t>FR: TF 6B_728/2019 du 6 août 2019</w:t>
      </w:r>
    </w:p>
    <w:p>
      <w:r>
        <w:t>IT: TF 6B_728/2019 del 6 agosto 2019</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2</w:t>
      </w:r>
    </w:p>
    <w:p>
      <w:r>
        <w:t>Selon l' art. 42 al. 1 LTF , le mémoire de recours doit être motivé et contenir des conclusions. Celles-ci doivent exprimer sur quels points la décision entreprise doit être modifiée et comment. Les motifs doivent, en outre,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il sied de préciser, s'agissant de la requête du recourant tendant à la désignation d'un conseil d'office, que ce dernier a expressément été rendu attentif, par courrier du 28 mars 2019, en réponse à une requête identique précédemment formulée, qu'il lui appartenait de rechercher un conseil à qui il reviendrait de former une demande d'assistance judiciaire lors du dépôt du recours. Nonobstant cette indication, le recourant s'est limité à réitérer une semblable requête dans son mémoire, lequel est parvenu au Tribunal fédéral deux jours avant l'échéance du délai de recours, qui n'est pas prolongeable ( art. 47 al. 1 LTF ). Il incombait au recourant de déposer une écriture en bonne et due forme avant qu'il soit statué sur son droit éventuel à l'assistance judiciaire (cf. Bernard Corboz, Commentaire de la LTF, 2ème éd. 2014, ch. 38 ad art. 64 LTF ). Il n'y a donc pas lieu de donner suite à sa requête.</w:t>
      </w:r>
    </w:p>
    <w:p>
      <w:r>
        <w:t>Cela étant, le recourant invoque pêle-mêle différentes dispositions du code pénal ( art. 275 CP , 303 CP, 304 CP, 306 CP, 322sexies CP) dépourvues de rapport avec les infractions retenues à son encontre. De manière difficilement intelligible, il semble se plaindre, entre autres, de "très graves manoeuvres contre la constitution" et "d'infractions graves aux conventions de Genève". On comprend qu'il s'estime persécuté par la justice et victime d'un complot. Il ne développe toutefois aucun argument dirigé contre les éléments de fait et de droit retenus par la cour cantonale pour justifier sa condamnation. Tout au contraire, son argumentation s'épuise dans une critique appellatoire du jugement attaqué, sans que l'on parvienne à discerner une critique topique, conforme aux exigences de motivation, des considérants dudit jugement. Le recours ne satisfait dès lors pas aux réquisits de l' art. 42 al. 2 LTF .</w:t>
      </w:r>
    </w:p>
    <w:p>
      <w:r>
        <w:rPr>
          <w:b/>
        </w:rPr>
        <w:t>E. 3</w:t>
      </w:r>
    </w:p>
    <w:p>
      <w:r>
        <w:t>Il s'ensuit que le recours doit être déclaré irrecevable en application de l' art. 108 al. 1 let. b LTF . Comme il était dénué de chances de succès, l'assistance judiciaire ne peut être accordée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