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6B_728/2008 vom 16. Januar 2009</w:t>
      </w:r>
    </w:p>
    <w:p>
      <w:r>
        <w:t>Bundesgericht, 2009-01-16, DE</w:t>
      </w:r>
    </w:p>
    <w:p>
      <w:r>
        <w:rPr>
          <w:b/>
        </w:rPr>
        <w:t xml:space="preserve">Quelle: </w:t>
      </w:r>
      <w:r>
        <w:t>https://mcp.opencaselaw.ch/entscheid/bger_6B_728_2008</w:t>
      </w:r>
    </w:p>
    <w:p>
      <w:r>
        <w:t>FR: TF 6B_728/2008 du 16 janvier 2009</w:t>
      </w:r>
    </w:p>
    <w:p>
      <w:r>
        <w:t>IT: TF 6B_728/2008 del 16 gennaio 2009</w:t>
      </w:r>
    </w:p>
    <w:p>
      <w:pPr>
        <w:pStyle w:val="Heading2"/>
      </w:pPr>
      <w:r>
        <w:t>Erwägungen</w:t>
      </w:r>
    </w:p>
    <w:p>
      <w:r>
        <w:rPr>
          <w:b/>
        </w:rPr>
        <w:t>E. 1.1</w:t>
      </w:r>
    </w:p>
    <w:p>
      <w:r>
        <w:t>Die Beschwerdeführerin wirft der Vorinstanz vor, sie habe den Grundsatz nil nocere und damit Art. 75 StGB sowie Art. 80 StGB verletzt.</w:t>
      </w:r>
    </w:p>
    <w:p>
      <w:r>
        <w:rPr>
          <w:b/>
        </w:rPr>
        <w:t>E. 1.2</w:t>
      </w:r>
    </w:p>
    <w:p>
      <w:r>
        <w:t>Die Vorinstanz nimmt an, die bloss vorübergehende Trennung der Mutter von den Kindern wegen des Vollzugs der Freiheitsstrafe rechtfertige keine Ausnahme im Sinne von Art. 80 Abs. 1 StGB .</w:t>
      </w:r>
    </w:p>
    <w:p>
      <w:r>
        <w:rPr>
          <w:b/>
        </w:rPr>
        <w:t>E. 1.3</w:t>
      </w:r>
    </w:p>
    <w:p>
      <w:r>
        <w:t>Gemäss Art. 80 StGB kann von den für den Vollzug geltenden Regeln zu Gunsten des Gefangenen abgewichen werden:</w:t>
      </w:r>
    </w:p>
    <w:p>
      <w:r>
        <w:t>a. wenn der Gesundheitszustand des Gefangenen dies erfordert;</w:t>
      </w:r>
    </w:p>
    <w:p>
      <w:r>
        <w:t>b. bei Schwangerschaft, Geburt und für die Zeit unmittelbar nach der Geburt;</w:t>
      </w:r>
    </w:p>
    <w:p>
      <w:r>
        <w:t>c. zur gemeinsamen Unterbringung von Mutter und Kleinkind, sofern dies auch im Interesse des Kindes liegt.</w:t>
      </w:r>
    </w:p>
    <w:p>
      <w:r>
        <w:t>Diese Bestimmung bindet Abweichungen von den gesetzlichen Vollzugsregeln an präzise und einschränkende Voraussetzungen. Abweichungen haben Ausnahmecharakter (ANDREA BAECHTOLD, Strafrecht I, Basler Kommentar, 2. Auflage, Art. 80 N 4 ). Die Vorinstanz verneint zutreffend solche Ausnahmegründe. Der hier in Betracht kommenden Betreuung von Jugendlichen und Kindern der Jahrgänge 1990, 1999 und 2003 (angefochtenes Urteil S. 7) kommt der gesetzliche Ausnahmecharakter nicht zu. Dabei ist entgegen der Beschwerdeführerin der vorinstanzliche Hinweis nicht zu beanstanden, dass die Kinder bereits einmal in einer Pflegefamilie untergebracht waren, um den Strafvollzug zu ermöglichen.</w:t>
      </w:r>
    </w:p>
    <w:p>
      <w:r>
        <w:rPr>
          <w:b/>
        </w:rPr>
        <w:t>E. 1.4</w:t>
      </w:r>
    </w:p>
    <w:p>
      <w:r>
        <w:t>Das Prinzip des nil nocere ändert an dieser Rechtslage nichts. Nach den Vollzugsgrundsätzen von Art. 75 Abs. 1 StGB hat der Strafvollzug "schädlichen Folgen des Freiheitsentzugs entgegenzuwirken". Beschränkungen der persönlichen Freiheit im Strafvollzug sind so auszugestalten, dass Haftschädigungen möglichst vermieden werden (BENJAMIN F. Brägger, Strafrecht I, a.a.O., Art. 75 N 8 ). Dieses Prinzip erlaubt nicht, entgegen der gesetzlichen Normierung vom Strafvollzug abzusehen oder ihn in Form der Halbgefangenschaft zu vollziehen (Art. 80 Abs. 1 bzw. Art. 77b und 79 StGB ).</w:t>
      </w:r>
    </w:p>
    <w:p>
      <w:r>
        <w:rPr>
          <w:b/>
        </w:rPr>
        <w:t>E. 2</w:t>
      </w:r>
    </w:p>
    <w:p>
      <w:r>
        <w:t>Die Beschwerde ist abzuweisen. Das Gesuch um unentgeltliche Rechtspflege ist wegen Aussichtslosigkeit abzuweisen ( Art. 64 BGG ). Der finanziellen Lage der Beschwerdeführerin wird mit herabgesetzten Gerichtskosten Rechnung getragen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