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727/2014 vom 12. August 2014</w:t>
      </w:r>
    </w:p>
    <w:p>
      <w:r>
        <w:t>Bundesgericht, 2014-08-12, DE</w:t>
      </w:r>
    </w:p>
    <w:p>
      <w:r>
        <w:rPr>
          <w:b/>
        </w:rPr>
        <w:t xml:space="preserve">Quelle: </w:t>
      </w:r>
      <w:r>
        <w:t>https://mcp.opencaselaw.ch/entscheid/bger_6B_727_2014</w:t>
      </w:r>
    </w:p>
    <w:p>
      <w:r>
        <w:t>FR: TF 6B 727/2014 du 12 août 2014</w:t>
      </w:r>
    </w:p>
    <w:p>
      <w:r>
        <w:t>IT: TF 6B 727/2014 del 12 agosto 2014</w:t>
      </w:r>
    </w:p>
    <w:p>
      <w:pPr>
        <w:pStyle w:val="Heading2"/>
      </w:pPr>
      <w:r>
        <w:t>Regeste</w:t>
      </w:r>
    </w:p>
    <w:p>
      <w:r>
        <w:t>Einstellung eines Strafverfahrens (Anstiftung zu Urkundenfälschung) | Strafprozess</w:t>
      </w:r>
    </w:p>
    <w:p>
      <w:pPr>
        <w:pStyle w:val="Heading2"/>
      </w:pPr>
      <w:r>
        <w:t>Erwägungen</w:t>
      </w:r>
    </w:p>
    <w:p>
      <w:r>
        <w:rPr>
          <w:b/>
        </w:rPr>
        <w:t>E. 1</w:t>
      </w:r>
    </w:p>
    <w:p>
      <w:r>
        <w:t>Generalstaatsanwaltschaft des Kantons Thurgau , Zürcherstrasse 323, 8510 Frauenfeld,</w:t>
      </w:r>
    </w:p>
    <w:p>
      <w:r>
        <w:rPr>
          <w:b/>
        </w:rPr>
        <w:t>E. 2</w:t>
      </w:r>
    </w:p>
    <w:p>
      <w:r>
        <w:t>Der Privatkläger ist zur Erhebung einer Beschwerde in Strafsachen legitimiert, wenn er ein rechtlich geschütztes Interesse an der Aufhebung oder Änderung des angefochtenen Entscheids hat und dieser sich auf die Beurteilung seiner Zivilansprüche auswirken kann (Art. 81 Abs. 1 lit. b Ziff. 5 BGG). Das verlangt grundsätzlich von ihm, dass er adhäsionsweise Zivilforderungen geltend gemacht hat. Nach der Rechtsprechung des Bundesgerichts muss er dies zwar im Untersuchungsverfahren noch nicht getan haben, damit er zur Beschwerde gegen eine Einstellung befugt ist. Er hat jedoch, sofern es aufgrund der Natur der untersuchten Straftat nicht ohne Weiteres ersichtlich ist, vor Bundesgericht darzulegen, aus welchen Gründen sich der angefochtene Entscheid inwiefern auf welche Zivilforderung auswirken kann. Das Bundesgericht stellt insoweit strenge Anforderungen (Urteil 6B_1128/2013 vom 24. März 2014 mit Hinweisen). Aus dem angefochtenen Entscheid ergibt sich nicht, dass der Beschwerdeführer im Untersuchungsverfahren eine Zivilforderung gegen den Beschwerdegegner 2 gestellt hätte. Vor Bundesgericht äussert er sich zur Legitimation und zu einer allfälligen Zivilforderung nicht. Eine solche ist aufgrund des angeklagten Sachverhalts im Übrigen auch nicht ohne Weiteres ersichtlich, zumal der dubiose Eintrag am 14. April 2011 ja wieder gelöscht wurde (angefochtener Entscheid S. 6). Bei der gegebenen Sachlage ist auf die Beschwerde mangels Legitimation des Beschwerdeführers im Verfahren nach Art. 108 BGG nicht einzutreten.</w:t>
      </w:r>
    </w:p>
    <w:p>
      <w:r>
        <w:rPr>
          <w:b/>
        </w:rPr>
        <w:t>E. 3</w:t>
      </w:r>
    </w:p>
    <w:p>
      <w:r>
        <w:t>Die Gerichtskosten sind dem Beschwerdeführer aufzuerlegen ( Art. 66 Abs. 1 BGG ). Dem Beschwerdegegner 2 ist keine Entschädigung auszurichten, weil er vor Bundesgericht keine Umtriebe hatte.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