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726/2015 vom 20. Juli 2015</w:t>
      </w:r>
    </w:p>
    <w:p>
      <w:r>
        <w:t>Bundesgericht, 2015-07-20, DE</w:t>
      </w:r>
    </w:p>
    <w:p>
      <w:r>
        <w:rPr>
          <w:b/>
        </w:rPr>
        <w:t xml:space="preserve">Quelle: </w:t>
      </w:r>
      <w:r>
        <w:t>https://mcp.opencaselaw.ch/entscheid/bger_6B_726_2015</w:t>
      </w:r>
    </w:p>
    <w:p>
      <w:r>
        <w:t>FR: TF 6B 726/2015 du 20 juillet 2015</w:t>
      </w:r>
    </w:p>
    <w:p>
      <w:r>
        <w:t>IT: TF 6B 726/2015 del 20 luglio 2015</w:t>
      </w:r>
    </w:p>
    <w:p>
      <w:pPr>
        <w:pStyle w:val="Heading2"/>
      </w:pPr>
      <w:r>
        <w:t>Regeste</w:t>
      </w:r>
    </w:p>
    <w:p>
      <w:r>
        <w:t>Unbekannt | Strafrecht (allgemein)</w:t>
      </w:r>
    </w:p>
    <w:p>
      <w:pPr>
        <w:pStyle w:val="Heading2"/>
      </w:pPr>
      <w:r>
        <w:t>Erwägungen</w:t>
      </w:r>
    </w:p>
    <w:p>
      <w:r>
        <w:rPr>
          <w:b/>
        </w:rPr>
        <w:t>E. 1</w:t>
      </w:r>
    </w:p>
    <w:p>
      <w:r>
        <w:t>Der Beschwerdeführer reichte am 26. Juni 2015 eine "vorsorgliche Einsprache" gegen einen Strafbefehl der Staatsanwaltschaft des Kantons Bern ein. Das Bundesgericht teilte dem Beschwerdeführer am 29. Juni 2015 mit, da der Eingabe kein angefochtener Entscheid beiliege, habe er diesen bis zum 10. Juli 2015 nachzureichen, ansonsten die Rechtsschrift unbeachtlich bleibe. Innert Frist hat der Beschwerdeführer keinen angefochtenen Entscheid eingereicht. Folglich bleibt seine Eingabe vom 26. Juni 2015 androhungsgemäss unbeachtlich. Auf die Beschwerde ist im Verfahren nach Art. 108 BGG nicht einzutreten.</w:t>
      </w:r>
    </w:p>
    <w:p>
      <w:r>
        <w:rPr>
          <w:b/>
        </w:rPr>
        <w:t>E. 2</w:t>
      </w:r>
    </w:p>
    <w:p>
      <w:r>
        <w:t>Auf eine Kostenauflage kann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